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outlineLvl w:val="1"/>
        <w:rPr>
          <w:rFonts w:ascii="方正大标宋简体" w:hAnsi="仿宋_GB2312" w:eastAsia="方正大标宋简体" w:cs="仿宋_GB2312"/>
          <w:color w:val="000000" w:themeColor="text1"/>
          <w:sz w:val="44"/>
          <w:szCs w:val="44"/>
          <w:lang w:eastAsia="zh-CN"/>
        </w:rPr>
      </w:pPr>
      <w:r>
        <w:rPr>
          <w:rFonts w:hint="eastAsia" w:ascii="方正大标宋简体" w:hAnsi="仿宋_GB2312" w:eastAsia="方正大标宋简体" w:cs="仿宋_GB2312"/>
          <w:color w:val="000000" w:themeColor="text1"/>
          <w:sz w:val="44"/>
          <w:szCs w:val="44"/>
          <w:lang w:val="en-US" w:eastAsia="zh-CN"/>
        </w:rPr>
        <w:t>鹰潭</w:t>
      </w:r>
      <w:r>
        <w:rPr>
          <w:rFonts w:hint="eastAsia" w:ascii="方正大标宋简体" w:hAnsi="仿宋_GB2312" w:eastAsia="方正大标宋简体" w:cs="仿宋_GB2312"/>
          <w:color w:val="000000" w:themeColor="text1"/>
          <w:sz w:val="44"/>
          <w:szCs w:val="44"/>
          <w:lang w:eastAsia="zh-CN"/>
        </w:rPr>
        <w:t xml:space="preserve">农村商业银行股份有限公司 </w:t>
      </w:r>
      <w:r>
        <w:rPr>
          <w:rFonts w:ascii="方正大标宋简体" w:hAnsi="仿宋_GB2312" w:eastAsia="方正大标宋简体" w:cs="仿宋_GB2312"/>
          <w:color w:val="000000" w:themeColor="text1"/>
          <w:sz w:val="44"/>
          <w:szCs w:val="44"/>
          <w:lang w:eastAsia="zh-CN"/>
        </w:rPr>
        <w:t xml:space="preserve">        </w:t>
      </w:r>
      <w:r>
        <w:rPr>
          <w:rFonts w:hint="eastAsia" w:ascii="方正大标宋简体" w:hAnsi="仿宋_GB2312" w:eastAsia="方正大标宋简体" w:cs="仿宋_GB2312"/>
          <w:color w:val="000000" w:themeColor="text1"/>
          <w:sz w:val="44"/>
          <w:szCs w:val="44"/>
          <w:lang w:eastAsia="zh-CN"/>
        </w:rPr>
        <w:t>202</w:t>
      </w:r>
      <w:r>
        <w:rPr>
          <w:rFonts w:ascii="方正大标宋简体" w:hAnsi="仿宋_GB2312" w:eastAsia="方正大标宋简体" w:cs="仿宋_GB2312"/>
          <w:color w:val="000000" w:themeColor="text1"/>
          <w:sz w:val="44"/>
          <w:szCs w:val="44"/>
          <w:lang w:eastAsia="zh-CN"/>
        </w:rPr>
        <w:t>5</w:t>
      </w:r>
      <w:r>
        <w:rPr>
          <w:rFonts w:hint="eastAsia" w:ascii="方正大标宋简体" w:hAnsi="仿宋_GB2312" w:eastAsia="方正大标宋简体" w:cs="仿宋_GB2312"/>
          <w:color w:val="000000" w:themeColor="text1"/>
          <w:sz w:val="44"/>
          <w:szCs w:val="44"/>
          <w:lang w:eastAsia="zh-CN"/>
        </w:rPr>
        <w:t>年</w:t>
      </w:r>
      <w:r>
        <w:rPr>
          <w:rFonts w:hint="eastAsia" w:ascii="方正大标宋简体" w:hAnsi="仿宋_GB2312" w:eastAsia="方正大标宋简体" w:cs="仿宋_GB2312"/>
          <w:color w:val="000000" w:themeColor="text1"/>
          <w:sz w:val="44"/>
          <w:szCs w:val="44"/>
          <w:lang w:val="en-US" w:eastAsia="zh-CN"/>
        </w:rPr>
        <w:t>二</w:t>
      </w:r>
      <w:r>
        <w:rPr>
          <w:rFonts w:hint="eastAsia" w:ascii="方正大标宋简体" w:hAnsi="仿宋_GB2312" w:eastAsia="方正大标宋简体" w:cs="仿宋_GB2312"/>
          <w:color w:val="000000" w:themeColor="text1"/>
          <w:sz w:val="44"/>
          <w:szCs w:val="44"/>
          <w:lang w:eastAsia="zh-CN"/>
        </w:rPr>
        <w:t>季度第三支柱信息披露报告</w:t>
      </w:r>
    </w:p>
    <w:p>
      <w:pPr>
        <w:snapToGrid w:val="0"/>
        <w:spacing w:line="520" w:lineRule="exact"/>
        <w:ind w:firstLine="600" w:firstLineChars="200"/>
        <w:outlineLvl w:val="1"/>
        <w:rPr>
          <w:rFonts w:ascii="仿宋_GB2312" w:hAnsi="仿宋_GB2312" w:eastAsia="仿宋_GB2312" w:cs="仿宋_GB2312"/>
          <w:color w:val="000000" w:themeColor="text1"/>
          <w:sz w:val="30"/>
          <w:szCs w:val="30"/>
          <w:lang w:eastAsia="zh-CN"/>
        </w:rPr>
      </w:pPr>
    </w:p>
    <w:p>
      <w:pPr>
        <w:snapToGrid w:val="0"/>
        <w:spacing w:line="520" w:lineRule="exact"/>
        <w:ind w:firstLine="640" w:firstLineChars="200"/>
        <w:outlineLvl w:val="1"/>
        <w:rPr>
          <w:rFonts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鹰潭</w:t>
      </w:r>
      <w:r>
        <w:rPr>
          <w:rFonts w:hint="eastAsia" w:ascii="仿宋_GB2312" w:hAnsi="仿宋_GB2312" w:eastAsia="仿宋_GB2312" w:cs="仿宋_GB2312"/>
          <w:color w:val="000000" w:themeColor="text1"/>
          <w:sz w:val="32"/>
          <w:szCs w:val="32"/>
          <w:lang w:eastAsia="zh-CN"/>
        </w:rPr>
        <w:t>农商银行为非国内系统重要性银行，本报告根据《商业银行资本管理办法》（国家金融监督管理总局令2</w:t>
      </w:r>
      <w:r>
        <w:rPr>
          <w:rFonts w:ascii="仿宋_GB2312" w:hAnsi="仿宋_GB2312" w:eastAsia="仿宋_GB2312" w:cs="仿宋_GB2312"/>
          <w:color w:val="000000" w:themeColor="text1"/>
          <w:sz w:val="32"/>
          <w:szCs w:val="32"/>
          <w:lang w:eastAsia="zh-CN"/>
        </w:rPr>
        <w:t>023</w:t>
      </w:r>
      <w:r>
        <w:rPr>
          <w:rFonts w:hint="eastAsia" w:ascii="仿宋_GB2312" w:hAnsi="仿宋_GB2312" w:eastAsia="仿宋_GB2312" w:cs="仿宋_GB2312"/>
          <w:color w:val="000000" w:themeColor="text1"/>
          <w:sz w:val="32"/>
          <w:szCs w:val="32"/>
          <w:lang w:eastAsia="zh-CN"/>
        </w:rPr>
        <w:t>年第4号）相关规定编制。现将2</w:t>
      </w:r>
      <w:r>
        <w:rPr>
          <w:rFonts w:ascii="仿宋_GB2312" w:hAnsi="仿宋_GB2312" w:eastAsia="仿宋_GB2312" w:cs="仿宋_GB2312"/>
          <w:color w:val="000000" w:themeColor="text1"/>
          <w:sz w:val="32"/>
          <w:szCs w:val="32"/>
          <w:lang w:eastAsia="zh-CN"/>
        </w:rPr>
        <w:t>025</w:t>
      </w:r>
      <w:r>
        <w:rPr>
          <w:rFonts w:hint="eastAsia" w:ascii="仿宋_GB2312" w:hAnsi="仿宋_GB2312" w:eastAsia="仿宋_GB2312" w:cs="仿宋_GB2312"/>
          <w:color w:val="000000" w:themeColor="text1"/>
          <w:sz w:val="32"/>
          <w:szCs w:val="32"/>
          <w:lang w:eastAsia="zh-CN"/>
        </w:rPr>
        <w:t>年</w:t>
      </w: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color w:val="000000" w:themeColor="text1"/>
          <w:sz w:val="32"/>
          <w:szCs w:val="32"/>
          <w:lang w:eastAsia="zh-CN"/>
        </w:rPr>
        <w:t>季度需披露的报表K</w:t>
      </w:r>
      <w:r>
        <w:rPr>
          <w:rFonts w:ascii="仿宋_GB2312" w:hAnsi="仿宋_GB2312" w:eastAsia="仿宋_GB2312" w:cs="仿宋_GB2312"/>
          <w:color w:val="000000" w:themeColor="text1"/>
          <w:sz w:val="32"/>
          <w:szCs w:val="32"/>
          <w:lang w:eastAsia="zh-CN"/>
        </w:rPr>
        <w:t>M1</w:t>
      </w:r>
      <w:r>
        <w:rPr>
          <w:rFonts w:hint="eastAsia" w:ascii="仿宋_GB2312" w:hAnsi="仿宋_GB2312" w:eastAsia="仿宋_GB2312" w:cs="仿宋_GB2312"/>
          <w:color w:val="000000" w:themeColor="text1"/>
          <w:sz w:val="32"/>
          <w:szCs w:val="32"/>
          <w:lang w:eastAsia="zh-CN"/>
        </w:rPr>
        <w:t>监管并表关键审慎监管指标表公布如下：</w:t>
      </w:r>
    </w:p>
    <w:p>
      <w:pPr>
        <w:snapToGrid w:val="0"/>
        <w:spacing w:line="520" w:lineRule="exact"/>
        <w:ind w:firstLine="1928" w:firstLineChars="600"/>
        <w:outlineLvl w:val="1"/>
        <w:rPr>
          <w:rFonts w:ascii="仿宋_GB2312" w:hAnsi="仿宋_GB2312" w:eastAsia="仿宋_GB2312" w:cs="仿宋_GB2312"/>
          <w:b/>
          <w:color w:val="000000" w:themeColor="text1"/>
          <w:sz w:val="32"/>
          <w:szCs w:val="32"/>
          <w:lang w:eastAsia="zh-CN"/>
        </w:rPr>
      </w:pPr>
      <w:r>
        <w:rPr>
          <w:rFonts w:ascii="仿宋_GB2312" w:hAnsi="仿宋_GB2312" w:eastAsia="仿宋_GB2312" w:cs="仿宋_GB2312"/>
          <w:b/>
          <w:color w:val="000000" w:themeColor="text1"/>
          <w:sz w:val="32"/>
          <w:szCs w:val="32"/>
          <w:lang w:eastAsia="zh-CN"/>
        </w:rPr>
        <w:t>KM1：</w:t>
      </w:r>
      <w:r>
        <w:rPr>
          <w:rFonts w:hint="eastAsia" w:ascii="仿宋_GB2312" w:hAnsi="仿宋_GB2312" w:eastAsia="仿宋_GB2312" w:cs="仿宋_GB2312"/>
          <w:b/>
          <w:color w:val="000000" w:themeColor="text1"/>
          <w:sz w:val="32"/>
          <w:szCs w:val="32"/>
          <w:lang w:eastAsia="zh-CN"/>
        </w:rPr>
        <w:t>监管并表关键审慎监管指标</w:t>
      </w:r>
    </w:p>
    <w:p>
      <w:pPr>
        <w:snapToGrid w:val="0"/>
        <w:spacing w:line="440" w:lineRule="exact"/>
        <w:outlineLvl w:val="1"/>
        <w:rPr>
          <w:rFonts w:ascii="仿宋_GB2312" w:hAnsi="仿宋_GB2312" w:eastAsia="仿宋_GB2312" w:cs="仿宋_GB2312"/>
          <w:color w:val="000000" w:themeColor="text1"/>
          <w:sz w:val="21"/>
          <w:szCs w:val="21"/>
          <w:lang w:eastAsia="zh-CN"/>
        </w:rPr>
      </w:pPr>
      <w:r>
        <w:rPr>
          <w:rFonts w:ascii="仿宋_GB2312" w:hAnsi="仿宋_GB2312" w:eastAsia="仿宋_GB2312" w:cs="仿宋_GB2312"/>
          <w:color w:val="000000" w:themeColor="text1"/>
          <w:sz w:val="30"/>
          <w:szCs w:val="30"/>
          <w:lang w:eastAsia="zh-CN"/>
        </w:rPr>
        <w:t xml:space="preserve">                                               </w:t>
      </w:r>
      <w:r>
        <w:rPr>
          <w:rFonts w:ascii="仿宋_GB2312" w:hAnsi="仿宋_GB2312" w:eastAsia="仿宋_GB2312" w:cs="仿宋_GB2312"/>
          <w:color w:val="000000" w:themeColor="text1"/>
          <w:lang w:eastAsia="zh-CN"/>
        </w:rPr>
        <w:t xml:space="preserve"> </w:t>
      </w:r>
      <w:r>
        <w:rPr>
          <w:rFonts w:hint="eastAsia" w:ascii="仿宋_GB2312" w:hAnsi="仿宋_GB2312" w:eastAsia="仿宋_GB2312" w:cs="仿宋_GB2312"/>
          <w:color w:val="000000" w:themeColor="text1"/>
          <w:sz w:val="21"/>
          <w:szCs w:val="21"/>
          <w:lang w:eastAsia="zh-CN"/>
        </w:rPr>
        <w:t>单位：人民币万元</w:t>
      </w:r>
    </w:p>
    <w:tbl>
      <w:tblPr>
        <w:tblStyle w:val="6"/>
        <w:tblW w:w="90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95"/>
        <w:gridCol w:w="1524"/>
        <w:gridCol w:w="1412"/>
        <w:gridCol w:w="1412"/>
        <w:gridCol w:w="1412"/>
        <w:gridCol w:w="1413"/>
        <w:gridCol w:w="12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2119" w:type="dxa"/>
            <w:gridSpan w:val="2"/>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时间</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w:t>
            </w:r>
            <w:r>
              <w:rPr>
                <w:rFonts w:ascii="仿宋_GB2312" w:hAnsi="等线" w:eastAsia="仿宋_GB2312" w:cs="宋体"/>
                <w:color w:val="000000"/>
                <w:sz w:val="18"/>
                <w:szCs w:val="18"/>
                <w:lang w:eastAsia="zh-CN"/>
              </w:rPr>
              <w:t>025</w:t>
            </w:r>
            <w:r>
              <w:rPr>
                <w:rFonts w:hint="eastAsia" w:ascii="仿宋_GB2312" w:hAnsi="等线" w:eastAsia="仿宋_GB2312" w:cs="宋体"/>
                <w:color w:val="000000"/>
                <w:sz w:val="18"/>
                <w:szCs w:val="18"/>
                <w:lang w:eastAsia="zh-CN"/>
              </w:rPr>
              <w:t>年</w:t>
            </w:r>
            <w:r>
              <w:rPr>
                <w:rFonts w:hint="eastAsia" w:ascii="仿宋_GB2312" w:hAnsi="等线" w:eastAsia="仿宋_GB2312" w:cs="宋体"/>
                <w:color w:val="000000"/>
                <w:sz w:val="18"/>
                <w:szCs w:val="18"/>
                <w:lang w:val="en-US" w:eastAsia="zh-CN"/>
              </w:rPr>
              <w:t>6</w:t>
            </w:r>
            <w:r>
              <w:rPr>
                <w:rFonts w:hint="eastAsia" w:ascii="仿宋_GB2312" w:hAnsi="等线" w:eastAsia="仿宋_GB2312" w:cs="宋体"/>
                <w:color w:val="000000"/>
                <w:sz w:val="18"/>
                <w:szCs w:val="18"/>
                <w:lang w:eastAsia="zh-CN"/>
              </w:rPr>
              <w:t>月</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w:t>
            </w:r>
            <w:r>
              <w:rPr>
                <w:rFonts w:ascii="仿宋_GB2312" w:hAnsi="等线" w:eastAsia="仿宋_GB2312" w:cs="宋体"/>
                <w:color w:val="000000"/>
                <w:sz w:val="18"/>
                <w:szCs w:val="18"/>
                <w:lang w:eastAsia="zh-CN"/>
              </w:rPr>
              <w:t>025</w:t>
            </w:r>
            <w:r>
              <w:rPr>
                <w:rFonts w:hint="eastAsia" w:ascii="仿宋_GB2312" w:hAnsi="等线" w:eastAsia="仿宋_GB2312" w:cs="宋体"/>
                <w:color w:val="000000"/>
                <w:sz w:val="18"/>
                <w:szCs w:val="18"/>
                <w:lang w:eastAsia="zh-CN"/>
              </w:rPr>
              <w:t>年3月</w:t>
            </w:r>
          </w:p>
        </w:tc>
        <w:tc>
          <w:tcPr>
            <w:tcW w:w="1412" w:type="dxa"/>
            <w:tcBorders>
              <w:tl2br w:val="nil"/>
              <w:tr2bl w:val="nil"/>
            </w:tcBorders>
            <w:shd w:val="clear" w:color="auto" w:fill="auto"/>
            <w:vAlign w:val="center"/>
          </w:tcPr>
          <w:p>
            <w:pPr>
              <w:spacing w:line="240" w:lineRule="exact"/>
              <w:jc w:val="righ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2024年12月</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2024年9月</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2024年6月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可用资本（数额）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核心一级资本净额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228</w:t>
            </w:r>
            <w:r>
              <w:rPr>
                <w:rFonts w:hint="eastAsia"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161.48</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233,741.34</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233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192.36</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762.78</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221</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一级资本净额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228</w:t>
            </w:r>
            <w:r>
              <w:rPr>
                <w:rFonts w:hint="eastAsia"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161.48</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233,741.34</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233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192.36</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762.78</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221</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3</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253</w:t>
            </w:r>
            <w:r>
              <w:rPr>
                <w:rFonts w:hint="eastAsia"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778.59</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259,425.35</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258</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219.86</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248</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224.08</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245</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232.44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风险加权资产（数额）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4</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风险加权资产</w:t>
            </w:r>
          </w:p>
        </w:tc>
        <w:tc>
          <w:tcPr>
            <w:tcW w:w="1412" w:type="dxa"/>
            <w:tcBorders>
              <w:tl2br w:val="nil"/>
              <w:tr2bl w:val="nil"/>
            </w:tcBorders>
            <w:vAlign w:val="center"/>
          </w:tcPr>
          <w:p>
            <w:pPr>
              <w:jc w:val="center"/>
              <w:rPr>
                <w:rFonts w:hint="eastAsia" w:ascii="仿宋_GB2312" w:hAnsi="等线" w:eastAsia="仿宋_GB2312" w:cs="宋体"/>
                <w:color w:val="000000"/>
                <w:sz w:val="21"/>
                <w:szCs w:val="21"/>
                <w:lang w:val="en-US" w:eastAsia="zh-CN"/>
              </w:rPr>
            </w:pPr>
            <w:r>
              <w:rPr>
                <w:rFonts w:hint="default" w:ascii="仿宋_GB2312" w:hAnsi="等线" w:eastAsia="仿宋_GB2312" w:cs="宋体"/>
                <w:color w:val="000000"/>
                <w:sz w:val="21"/>
                <w:szCs w:val="21"/>
                <w:lang w:val="en-US" w:eastAsia="zh-CN"/>
              </w:rPr>
              <w:t>2</w:t>
            </w:r>
            <w:r>
              <w:rPr>
                <w:rFonts w:hint="eastAsia" w:ascii="仿宋_GB2312" w:hAnsi="等线" w:eastAsia="仿宋_GB2312" w:cs="宋体"/>
                <w:color w:val="000000"/>
                <w:sz w:val="21"/>
                <w:szCs w:val="21"/>
                <w:lang w:val="en-US" w:eastAsia="zh-CN"/>
              </w:rPr>
              <w:t>,</w:t>
            </w:r>
            <w:r>
              <w:rPr>
                <w:rFonts w:hint="default" w:ascii="仿宋_GB2312" w:hAnsi="等线" w:eastAsia="仿宋_GB2312" w:cs="宋体"/>
                <w:color w:val="000000"/>
                <w:sz w:val="21"/>
                <w:szCs w:val="21"/>
                <w:lang w:val="en-US" w:eastAsia="zh-CN"/>
              </w:rPr>
              <w:t>234</w:t>
            </w:r>
            <w:r>
              <w:rPr>
                <w:rFonts w:hint="eastAsia" w:ascii="仿宋_GB2312" w:hAnsi="等线" w:eastAsia="仿宋_GB2312" w:cs="宋体"/>
                <w:color w:val="000000"/>
                <w:sz w:val="21"/>
                <w:szCs w:val="21"/>
                <w:lang w:val="en-US" w:eastAsia="zh-CN"/>
              </w:rPr>
              <w:t>,</w:t>
            </w:r>
            <w:r>
              <w:rPr>
                <w:rFonts w:hint="default" w:ascii="仿宋_GB2312" w:hAnsi="等线" w:eastAsia="仿宋_GB2312" w:cs="宋体"/>
                <w:color w:val="000000"/>
                <w:sz w:val="21"/>
                <w:szCs w:val="21"/>
                <w:lang w:val="en-US" w:eastAsia="zh-CN"/>
              </w:rPr>
              <w:t>236.39</w:t>
            </w:r>
          </w:p>
        </w:tc>
        <w:tc>
          <w:tcPr>
            <w:tcW w:w="1412" w:type="dxa"/>
            <w:tcBorders>
              <w:tl2br w:val="nil"/>
              <w:tr2bl w:val="nil"/>
            </w:tcBorders>
            <w:shd w:val="clear" w:color="auto" w:fill="auto"/>
            <w:vAlign w:val="center"/>
          </w:tcPr>
          <w:p>
            <w:pPr>
              <w:jc w:val="center"/>
              <w:rPr>
                <w:rFonts w:hint="default" w:ascii="仿宋_GB2312" w:hAnsi="等线" w:eastAsia="仿宋_GB2312" w:cs="宋体"/>
                <w:color w:val="000000"/>
                <w:sz w:val="21"/>
                <w:szCs w:val="21"/>
                <w:lang w:val="en-US" w:eastAsia="zh-CN"/>
              </w:rPr>
            </w:pPr>
            <w:r>
              <w:rPr>
                <w:rFonts w:hint="default" w:ascii="仿宋_GB2312" w:hAnsi="等线" w:eastAsia="仿宋_GB2312" w:cs="宋体"/>
                <w:color w:val="000000"/>
                <w:sz w:val="21"/>
                <w:szCs w:val="21"/>
                <w:lang w:val="en-US" w:eastAsia="zh-CN"/>
              </w:rPr>
              <w:t>2,239,654.78</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2,186,477.50</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133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003.17</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057</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538.98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资本充足率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5</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核心一级资本充足率（%）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10.2</w:t>
            </w:r>
            <w:r>
              <w:rPr>
                <w:rFonts w:hint="eastAsia" w:ascii="仿宋_GB2312" w:hAnsi="宋体" w:eastAsia="仿宋_GB2312" w:cs="仿宋_GB2312"/>
                <w:i w:val="0"/>
                <w:color w:val="000000"/>
                <w:kern w:val="0"/>
                <w:sz w:val="21"/>
                <w:szCs w:val="21"/>
                <w:u w:val="none"/>
                <w:lang w:val="en-US" w:eastAsia="zh-CN" w:bidi="ar"/>
              </w:rPr>
              <w:t>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10.44%</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10.67</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10.49</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10.7</w:t>
            </w:r>
            <w:r>
              <w:rPr>
                <w:rFonts w:hint="eastAsia" w:ascii="仿宋_GB2312" w:hAnsi="等线" w:eastAsia="仿宋_GB2312" w:cs="宋体"/>
                <w:color w:val="000000"/>
                <w:sz w:val="21"/>
                <w:szCs w:val="21"/>
                <w:lang w:val="en-US" w:eastAsia="zh-CN"/>
              </w:rPr>
              <w:t>8</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6</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一级资本充足率（%）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10.</w:t>
            </w:r>
            <w:r>
              <w:rPr>
                <w:rFonts w:hint="eastAsia" w:ascii="仿宋_GB2312" w:hAnsi="宋体" w:eastAsia="仿宋_GB2312" w:cs="仿宋_GB2312"/>
                <w:i w:val="0"/>
                <w:color w:val="000000"/>
                <w:kern w:val="0"/>
                <w:sz w:val="21"/>
                <w:szCs w:val="21"/>
                <w:u w:val="none"/>
                <w:lang w:val="en-US" w:eastAsia="zh-CN" w:bidi="ar"/>
              </w:rPr>
              <w:t>21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10.44%</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10.67</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10.49</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10.7</w:t>
            </w:r>
            <w:r>
              <w:rPr>
                <w:rFonts w:hint="eastAsia" w:ascii="仿宋_GB2312" w:hAnsi="等线" w:eastAsia="仿宋_GB2312" w:cs="宋体"/>
                <w:color w:val="000000"/>
                <w:sz w:val="21"/>
                <w:szCs w:val="21"/>
                <w:lang w:val="en-US" w:eastAsia="zh-CN"/>
              </w:rPr>
              <w:t>8</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7</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资本充足率（%）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11.</w:t>
            </w:r>
            <w:r>
              <w:rPr>
                <w:rFonts w:hint="eastAsia" w:ascii="仿宋_GB2312" w:hAnsi="宋体" w:eastAsia="仿宋_GB2312" w:cs="仿宋_GB2312"/>
                <w:i w:val="0"/>
                <w:color w:val="000000"/>
                <w:kern w:val="0"/>
                <w:sz w:val="21"/>
                <w:szCs w:val="21"/>
                <w:u w:val="none"/>
                <w:lang w:val="en-US" w:eastAsia="zh-CN" w:bidi="ar"/>
              </w:rPr>
              <w:t>36</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11.58%</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11.8</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11.6</w:t>
            </w:r>
            <w:r>
              <w:rPr>
                <w:rFonts w:hint="eastAsia" w:ascii="仿宋_GB2312" w:hAnsi="等线" w:eastAsia="仿宋_GB2312" w:cs="宋体"/>
                <w:color w:val="000000"/>
                <w:sz w:val="21"/>
                <w:szCs w:val="21"/>
                <w:lang w:val="en-US" w:eastAsia="zh-CN"/>
              </w:rPr>
              <w:t>4</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11.9</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其他各级资本要求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8</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储备资本要求（%）</w:t>
            </w:r>
          </w:p>
        </w:tc>
        <w:tc>
          <w:tcPr>
            <w:tcW w:w="1412" w:type="dxa"/>
            <w:tcBorders>
              <w:tl2br w:val="nil"/>
              <w:tr2bl w:val="nil"/>
            </w:tcBorders>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9</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逆周期资本要求（%）</w:t>
            </w:r>
          </w:p>
        </w:tc>
        <w:tc>
          <w:tcPr>
            <w:tcW w:w="1412" w:type="dxa"/>
            <w:tcBorders>
              <w:tl2br w:val="nil"/>
              <w:tr2bl w:val="nil"/>
            </w:tcBorders>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18"/>
                <w:szCs w:val="18"/>
                <w:u w:val="none"/>
                <w:lang w:val="en-US" w:eastAsia="zh-CN" w:bidi="ar"/>
              </w:rPr>
              <w:t>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71"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olor w:val="000000"/>
                <w:sz w:val="21"/>
                <w:szCs w:val="21"/>
                <w:lang w:eastAsia="zh-CN"/>
              </w:rPr>
            </w:pPr>
            <w:r>
              <w:rPr>
                <w:rFonts w:hint="eastAsia" w:ascii="仿宋_GB2312" w:hAnsi="等线" w:eastAsia="仿宋_GB2312"/>
                <w:color w:val="000000"/>
                <w:sz w:val="21"/>
                <w:szCs w:val="21"/>
              </w:rPr>
              <w:t>10</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全球系统重要性银行或国内系统重要性银行附加资本要求（%）</w:t>
            </w:r>
          </w:p>
        </w:tc>
        <w:tc>
          <w:tcPr>
            <w:tcW w:w="1412" w:type="dxa"/>
            <w:tcBorders>
              <w:tl2br w:val="nil"/>
              <w:tr2bl w:val="nil"/>
            </w:tcBorders>
            <w:shd w:val="clear" w:color="auto" w:fill="BEBEBE" w:themeFill="background1" w:themeFillShade="BF"/>
            <w:vAlign w:val="center"/>
          </w:tcPr>
          <w:p>
            <w:pPr>
              <w:jc w:val="center"/>
              <w:rPr>
                <w:rFonts w:ascii="仿宋_GB2312" w:hAnsi="等线" w:eastAsia="仿宋_GB2312"/>
                <w:color w:val="000000"/>
                <w:sz w:val="18"/>
                <w:szCs w:val="18"/>
                <w:highlight w:val="lightGray"/>
                <w:lang w:eastAsia="zh-CN"/>
              </w:rPr>
            </w:pPr>
          </w:p>
        </w:tc>
        <w:tc>
          <w:tcPr>
            <w:tcW w:w="1412" w:type="dxa"/>
            <w:tcBorders>
              <w:tl2br w:val="nil"/>
              <w:tr2bl w:val="nil"/>
            </w:tcBorders>
            <w:shd w:val="clear" w:color="000000" w:fill="BFBFBF"/>
            <w:vAlign w:val="center"/>
          </w:tcPr>
          <w:p>
            <w:pPr>
              <w:spacing w:line="240" w:lineRule="exact"/>
              <w:jc w:val="center"/>
              <w:rPr>
                <w:rFonts w:ascii="仿宋_GB2312" w:hAnsi="等线" w:eastAsia="仿宋_GB2312"/>
                <w:color w:val="000000"/>
                <w:sz w:val="18"/>
                <w:szCs w:val="18"/>
                <w:highlight w:val="lightGray"/>
                <w:lang w:eastAsia="zh-CN"/>
              </w:rPr>
            </w:pPr>
            <w:r>
              <w:rPr>
                <w:rFonts w:hint="eastAsia" w:ascii="仿宋_GB2312" w:hAnsi="等线" w:eastAsia="仿宋_GB2312"/>
                <w:color w:val="000000"/>
                <w:sz w:val="18"/>
                <w:szCs w:val="18"/>
                <w:highlight w:val="lightGray"/>
                <w:lang w:eastAsia="zh-CN"/>
              </w:rPr>
              <w:t>　</w:t>
            </w:r>
          </w:p>
        </w:tc>
        <w:tc>
          <w:tcPr>
            <w:tcW w:w="1412" w:type="dxa"/>
            <w:tcBorders>
              <w:tl2br w:val="nil"/>
              <w:tr2bl w:val="nil"/>
            </w:tcBorders>
            <w:shd w:val="clear" w:color="000000" w:fill="BFBFBF"/>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c>
          <w:tcPr>
            <w:tcW w:w="1413" w:type="dxa"/>
            <w:tcBorders>
              <w:tl2br w:val="nil"/>
              <w:tr2bl w:val="nil"/>
            </w:tcBorders>
            <w:shd w:val="clear" w:color="000000" w:fill="BEBEBE"/>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c>
          <w:tcPr>
            <w:tcW w:w="1292" w:type="dxa"/>
            <w:tcBorders>
              <w:tl2br w:val="nil"/>
              <w:tr2bl w:val="nil"/>
            </w:tcBorders>
            <w:shd w:val="clear" w:color="000000" w:fill="BEBEBE"/>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54"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11</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其他各级资本要求（%）（8+9+10）</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宋体" w:eastAsia="仿宋_GB2312" w:cs="宋体"/>
                <w:color w:val="000000" w:themeColor="text1"/>
                <w:sz w:val="21"/>
                <w:szCs w:val="21"/>
                <w:lang w:val="en-US"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12</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满足最低资本要求后的可用核心一级资本净额占风险加权资产的比例（%）</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宋体" w:eastAsia="仿宋_GB2312" w:cs="宋体"/>
                <w:color w:val="000000" w:themeColor="text1"/>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3.36</w:t>
            </w:r>
            <w:r>
              <w:rPr>
                <w:rFonts w:hint="default" w:ascii="仿宋_GB2312" w:hAnsi="宋体" w:eastAsia="仿宋_GB2312" w:cs="仿宋_GB2312"/>
                <w:i w:val="0"/>
                <w:color w:val="auto"/>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3.58%</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宋体" w:eastAsia="仿宋_GB2312" w:cs="宋体"/>
                <w:color w:val="000000" w:themeColor="text1"/>
                <w:sz w:val="21"/>
                <w:szCs w:val="21"/>
                <w:lang w:val="en-US" w:eastAsia="zh-CN"/>
              </w:rPr>
              <w:t>3.81</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3.64</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3.92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杠杆率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13</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调整后表内外资产余额</w:t>
            </w:r>
          </w:p>
        </w:tc>
        <w:tc>
          <w:tcPr>
            <w:tcW w:w="1412" w:type="dxa"/>
            <w:tcBorders>
              <w:tl2br w:val="nil"/>
              <w:tr2bl w:val="nil"/>
            </w:tcBorders>
            <w:vAlign w:val="center"/>
          </w:tcPr>
          <w:p>
            <w:pPr>
              <w:jc w:val="center"/>
              <w:rPr>
                <w:rFonts w:hint="eastAsia" w:ascii="仿宋_GB2312" w:hAnsi="等线" w:eastAsia="仿宋_GB2312" w:cs="宋体"/>
                <w:color w:val="000000"/>
                <w:sz w:val="21"/>
                <w:szCs w:val="21"/>
                <w:lang w:val="en-US" w:eastAsia="zh-CN"/>
              </w:rPr>
            </w:pPr>
            <w:r>
              <w:rPr>
                <w:rFonts w:hint="eastAsia" w:ascii="仿宋_GB2312" w:hAnsi="等线" w:eastAsia="仿宋_GB2312" w:cs="宋体"/>
                <w:color w:val="000000"/>
                <w:sz w:val="21"/>
                <w:szCs w:val="21"/>
                <w:lang w:val="en-US" w:eastAsia="zh-CN"/>
              </w:rPr>
              <w:t>3,503,958.90</w:t>
            </w:r>
          </w:p>
        </w:tc>
        <w:tc>
          <w:tcPr>
            <w:tcW w:w="1412" w:type="dxa"/>
            <w:tcBorders>
              <w:tl2br w:val="nil"/>
              <w:tr2bl w:val="nil"/>
            </w:tcBorders>
            <w:shd w:val="clear" w:color="auto" w:fill="auto"/>
            <w:vAlign w:val="center"/>
          </w:tcPr>
          <w:p>
            <w:pPr>
              <w:jc w:val="center"/>
              <w:rPr>
                <w:rFonts w:hint="eastAsia" w:ascii="仿宋_GB2312" w:hAnsi="等线" w:eastAsia="仿宋_GB2312" w:cs="宋体"/>
                <w:color w:val="000000"/>
                <w:sz w:val="21"/>
                <w:szCs w:val="21"/>
                <w:lang w:val="en-US" w:eastAsia="zh-CN"/>
              </w:rPr>
            </w:pPr>
            <w:r>
              <w:rPr>
                <w:rFonts w:hint="default" w:ascii="仿宋_GB2312" w:hAnsi="等线" w:eastAsia="仿宋_GB2312" w:cs="宋体"/>
                <w:color w:val="000000"/>
                <w:sz w:val="21"/>
                <w:szCs w:val="21"/>
                <w:lang w:val="en-US" w:eastAsia="zh-CN"/>
              </w:rPr>
              <w:t>3,552,318.39</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3,528,678.72</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3,598,237.30</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3,509,976.88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14</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杠杆率（%）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6.5</w:t>
            </w:r>
            <w:r>
              <w:rPr>
                <w:rFonts w:hint="eastAsia" w:ascii="仿宋_GB2312" w:hAnsi="宋体" w:eastAsia="仿宋_GB2312" w:cs="仿宋_GB2312"/>
                <w:i w:val="0"/>
                <w:color w:val="000000"/>
                <w:kern w:val="0"/>
                <w:sz w:val="21"/>
                <w:szCs w:val="21"/>
                <w:u w:val="none"/>
                <w:lang w:val="en-US" w:eastAsia="zh-CN" w:bidi="ar"/>
              </w:rPr>
              <w:t>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6.58%</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6.6</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6.2</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6.3</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14a</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杠杆率a（%）</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6.5</w:t>
            </w:r>
            <w:r>
              <w:rPr>
                <w:rFonts w:hint="eastAsia" w:ascii="仿宋_GB2312" w:hAnsi="宋体" w:eastAsia="仿宋_GB2312" w:cs="仿宋_GB2312"/>
                <w:i w:val="0"/>
                <w:color w:val="000000"/>
                <w:kern w:val="0"/>
                <w:sz w:val="21"/>
                <w:szCs w:val="21"/>
                <w:u w:val="none"/>
                <w:lang w:val="en-US" w:eastAsia="zh-CN" w:bidi="ar"/>
              </w:rPr>
              <w:t>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6.58%</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6.6</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6.2</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6.3</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流动性覆盖率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15</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合格优质流动性资产</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16</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现金净流出量</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17</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流动性覆盖率（%）</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净稳定资金比例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18</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可用稳定资金合计</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19</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所需稳定资金合计</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20</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净稳定资金比例（%）</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29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060" w:type="dxa"/>
            <w:gridSpan w:val="7"/>
            <w:tcBorders>
              <w:tl2br w:val="nil"/>
              <w:tr2bl w:val="nil"/>
            </w:tcBorders>
            <w:shd w:val="clear" w:color="000000" w:fill="D8D8D8"/>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流动性比例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8" w:hRule="atLeast"/>
        </w:trPr>
        <w:tc>
          <w:tcPr>
            <w:tcW w:w="595" w:type="dxa"/>
            <w:tcBorders>
              <w:tl2br w:val="nil"/>
              <w:tr2bl w:val="nil"/>
            </w:tcBorders>
            <w:shd w:val="clear" w:color="000000" w:fill="FFFFFF"/>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21</w:t>
            </w:r>
          </w:p>
        </w:tc>
        <w:tc>
          <w:tcPr>
            <w:tcW w:w="1524" w:type="dxa"/>
            <w:tcBorders>
              <w:tl2br w:val="nil"/>
              <w:tr2bl w:val="nil"/>
            </w:tcBorders>
            <w:shd w:val="clear" w:color="000000" w:fill="FFFFFF"/>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流动性比例（%）</w:t>
            </w:r>
          </w:p>
        </w:tc>
        <w:tc>
          <w:tcPr>
            <w:tcW w:w="1412" w:type="dxa"/>
            <w:tcBorders>
              <w:tl2br w:val="nil"/>
              <w:tr2bl w:val="nil"/>
            </w:tcBorders>
            <w:shd w:val="clear" w:color="000000" w:fill="FFFFFF"/>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52.15%</w:t>
            </w:r>
          </w:p>
        </w:tc>
        <w:tc>
          <w:tcPr>
            <w:tcW w:w="1412" w:type="dxa"/>
            <w:tcBorders>
              <w:tl2br w:val="nil"/>
              <w:tr2bl w:val="nil"/>
            </w:tcBorders>
            <w:shd w:val="clear" w:color="000000" w:fill="FFFFFF"/>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69.58%</w:t>
            </w:r>
          </w:p>
        </w:tc>
        <w:tc>
          <w:tcPr>
            <w:tcW w:w="1412"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41.16</w:t>
            </w:r>
            <w:r>
              <w:rPr>
                <w:rFonts w:hint="eastAsia" w:ascii="仿宋_GB2312" w:hAnsi="宋体" w:eastAsia="仿宋_GB2312" w:cs="宋体"/>
                <w:color w:val="000000" w:themeColor="text1"/>
                <w:sz w:val="21"/>
                <w:szCs w:val="21"/>
                <w:lang w:eastAsia="zh-CN"/>
              </w:rPr>
              <w:t>%</w:t>
            </w:r>
          </w:p>
        </w:tc>
        <w:tc>
          <w:tcPr>
            <w:tcW w:w="1413"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63.83</w:t>
            </w:r>
            <w:r>
              <w:rPr>
                <w:rFonts w:hint="eastAsia" w:ascii="仿宋_GB2312" w:hAnsi="宋体" w:eastAsia="仿宋_GB2312" w:cs="宋体"/>
                <w:color w:val="000000" w:themeColor="text1"/>
                <w:sz w:val="21"/>
                <w:szCs w:val="21"/>
                <w:lang w:eastAsia="zh-CN"/>
              </w:rPr>
              <w:t>%</w:t>
            </w:r>
          </w:p>
        </w:tc>
        <w:tc>
          <w:tcPr>
            <w:tcW w:w="1292"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56.46</w:t>
            </w:r>
            <w:r>
              <w:rPr>
                <w:rFonts w:hint="eastAsia" w:ascii="仿宋_GB2312" w:hAnsi="宋体" w:eastAsia="仿宋_GB2312" w:cs="宋体"/>
                <w:color w:val="000000" w:themeColor="text1"/>
                <w:sz w:val="21"/>
                <w:szCs w:val="21"/>
                <w:lang w:eastAsia="zh-CN"/>
              </w:rPr>
              <w:t>%</w:t>
            </w:r>
          </w:p>
        </w:tc>
      </w:tr>
    </w:tbl>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snapToGrid w:val="0"/>
        <w:spacing w:line="520" w:lineRule="exact"/>
        <w:ind w:firstLine="2891" w:firstLineChars="900"/>
        <w:outlineLvl w:val="1"/>
        <w:rPr>
          <w:rFonts w:ascii="仿宋_GB2312" w:hAnsi="仿宋_GB2312" w:eastAsia="仿宋_GB2312" w:cs="仿宋_GB2312"/>
          <w:b/>
          <w:color w:val="000000" w:themeColor="text1"/>
          <w:sz w:val="32"/>
          <w:szCs w:val="32"/>
          <w:lang w:eastAsia="zh-CN"/>
        </w:rPr>
      </w:pPr>
      <w:r>
        <w:rPr>
          <w:rFonts w:ascii="仿宋_GB2312" w:hAnsi="仿宋_GB2312" w:eastAsia="仿宋_GB2312" w:cs="仿宋_GB2312"/>
          <w:b/>
          <w:color w:val="000000" w:themeColor="text1"/>
          <w:sz w:val="32"/>
          <w:szCs w:val="32"/>
          <w:lang w:eastAsia="zh-CN"/>
        </w:rPr>
        <w:t>CC1</w:t>
      </w:r>
      <w:r>
        <w:rPr>
          <w:rFonts w:hint="eastAsia" w:ascii="仿宋_GB2312" w:hAnsi="仿宋_GB2312" w:eastAsia="仿宋_GB2312" w:cs="仿宋_GB2312"/>
          <w:b/>
          <w:color w:val="000000" w:themeColor="text1"/>
          <w:sz w:val="32"/>
          <w:szCs w:val="32"/>
          <w:lang w:eastAsia="zh-CN"/>
        </w:rPr>
        <w:t>：资本构成</w:t>
      </w:r>
    </w:p>
    <w:p>
      <w:pPr>
        <w:snapToGrid w:val="0"/>
        <w:spacing w:line="520" w:lineRule="exact"/>
        <w:outlineLvl w:val="1"/>
        <w:rPr>
          <w:rFonts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日期：2</w:t>
      </w:r>
      <w:r>
        <w:rPr>
          <w:rFonts w:ascii="仿宋_GB2312" w:hAnsi="仿宋_GB2312" w:eastAsia="仿宋_GB2312" w:cs="仿宋_GB2312"/>
          <w:color w:val="000000" w:themeColor="text1"/>
          <w:sz w:val="21"/>
          <w:szCs w:val="21"/>
          <w:lang w:eastAsia="zh-CN"/>
        </w:rPr>
        <w:t>025</w:t>
      </w:r>
      <w:r>
        <w:rPr>
          <w:rFonts w:hint="eastAsia" w:ascii="仿宋_GB2312" w:hAnsi="仿宋_GB2312" w:eastAsia="仿宋_GB2312" w:cs="仿宋_GB2312"/>
          <w:color w:val="000000" w:themeColor="text1"/>
          <w:sz w:val="21"/>
          <w:szCs w:val="21"/>
          <w:lang w:eastAsia="zh-CN"/>
        </w:rPr>
        <w:t>年</w:t>
      </w:r>
      <w:r>
        <w:rPr>
          <w:rFonts w:ascii="仿宋_GB2312" w:hAnsi="仿宋_GB2312" w:eastAsia="仿宋_GB2312" w:cs="仿宋_GB2312"/>
          <w:color w:val="000000" w:themeColor="text1"/>
          <w:sz w:val="21"/>
          <w:szCs w:val="21"/>
          <w:lang w:eastAsia="zh-CN"/>
        </w:rPr>
        <w:t>6</w:t>
      </w:r>
      <w:r>
        <w:rPr>
          <w:rFonts w:hint="eastAsia" w:ascii="仿宋_GB2312" w:hAnsi="仿宋_GB2312" w:eastAsia="仿宋_GB2312" w:cs="仿宋_GB2312"/>
          <w:color w:val="000000" w:themeColor="text1"/>
          <w:sz w:val="21"/>
          <w:szCs w:val="21"/>
          <w:lang w:eastAsia="zh-CN"/>
        </w:rPr>
        <w:t>月3</w:t>
      </w:r>
      <w:r>
        <w:rPr>
          <w:rFonts w:ascii="仿宋_GB2312" w:hAnsi="仿宋_GB2312" w:eastAsia="仿宋_GB2312" w:cs="仿宋_GB2312"/>
          <w:color w:val="000000" w:themeColor="text1"/>
          <w:sz w:val="21"/>
          <w:szCs w:val="21"/>
          <w:lang w:eastAsia="zh-CN"/>
        </w:rPr>
        <w:t>0</w:t>
      </w:r>
      <w:r>
        <w:rPr>
          <w:rFonts w:hint="eastAsia" w:ascii="仿宋_GB2312" w:hAnsi="仿宋_GB2312" w:eastAsia="仿宋_GB2312" w:cs="仿宋_GB2312"/>
          <w:color w:val="000000" w:themeColor="text1"/>
          <w:sz w:val="21"/>
          <w:szCs w:val="21"/>
          <w:lang w:eastAsia="zh-CN"/>
        </w:rPr>
        <w:t xml:space="preserve">日 </w:t>
      </w:r>
      <w:r>
        <w:rPr>
          <w:rFonts w:ascii="仿宋_GB2312" w:hAnsi="仿宋_GB2312" w:eastAsia="仿宋_GB2312" w:cs="仿宋_GB2312"/>
          <w:color w:val="000000" w:themeColor="text1"/>
          <w:sz w:val="21"/>
          <w:szCs w:val="21"/>
          <w:lang w:eastAsia="zh-CN"/>
        </w:rPr>
        <w:t xml:space="preserve">                                                     </w:t>
      </w:r>
      <w:r>
        <w:rPr>
          <w:rFonts w:hint="eastAsia" w:ascii="仿宋_GB2312" w:hAnsi="仿宋_GB2312" w:eastAsia="仿宋_GB2312" w:cs="仿宋_GB2312"/>
          <w:color w:val="000000" w:themeColor="text1"/>
          <w:sz w:val="21"/>
          <w:szCs w:val="21"/>
          <w:lang w:eastAsia="zh-CN"/>
        </w:rPr>
        <w:t>单位：人民币万元</w:t>
      </w:r>
    </w:p>
    <w:tbl>
      <w:tblPr>
        <w:tblStyle w:val="6"/>
        <w:tblW w:w="8931" w:type="dxa"/>
        <w:tblInd w:w="10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619"/>
        <w:gridCol w:w="359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lang w:eastAsia="zh-CN"/>
              </w:rPr>
            </w:pPr>
            <w:r>
              <w:rPr>
                <w:rFonts w:hint="eastAsia" w:ascii="仿宋_GB2312" w:hAnsi="宋体" w:eastAsia="仿宋_GB2312" w:cs="宋体"/>
                <w:color w:val="000000" w:themeColor="text1"/>
                <w:lang w:eastAsia="zh-CN"/>
              </w:rPr>
              <w:t>　</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ind w:firstLine="482" w:firstLineChars="200"/>
              <w:jc w:val="center"/>
              <w:rPr>
                <w:rFonts w:ascii="仿宋_GB2312" w:hAnsi="宋体" w:eastAsia="仿宋_GB2312" w:cs="宋体"/>
                <w:color w:val="000000" w:themeColor="text1"/>
                <w:lang w:eastAsia="zh-CN"/>
              </w:rPr>
            </w:pPr>
            <w:r>
              <w:rPr>
                <w:rFonts w:hint="eastAsia" w:ascii="仿宋_GB2312" w:hAnsi="宋体" w:eastAsia="仿宋_GB2312" w:cs="宋体"/>
                <w:b/>
                <w:bCs/>
                <w:color w:val="000000" w:themeColor="text1"/>
                <w:lang w:eastAsia="zh-CN"/>
              </w:rPr>
              <w:t>数额</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实收资本和资本公积可计入部分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等线" w:eastAsia="仿宋_GB2312"/>
                <w:color w:val="000000"/>
                <w:sz w:val="21"/>
                <w:szCs w:val="21"/>
                <w:lang w:val="en-US" w:eastAsia="zh-CN"/>
              </w:rPr>
            </w:pPr>
            <w:r>
              <w:rPr>
                <w:rFonts w:hint="eastAsia" w:ascii="仿宋_GB2312" w:hAnsi="等线" w:eastAsia="仿宋_GB2312"/>
                <w:color w:val="000000"/>
                <w:sz w:val="21"/>
                <w:szCs w:val="21"/>
                <w:lang w:val="en-US" w:eastAsia="zh-CN"/>
              </w:rPr>
              <w:t>160,721.91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留存收益</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2a</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盈余公积</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ind w:firstLine="210" w:firstLineChars="100"/>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23</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712.73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2b</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一般风险准备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ind w:firstLine="210" w:firstLineChars="100"/>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31</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707.62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2c</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未分配利润</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ind w:firstLine="210" w:firstLineChars="100"/>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10</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465.57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累计其他综合收益</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795.19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少数股东资本可计入部分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CN"/>
              </w:rPr>
              <w:t>扣除前的核心一级资本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229</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403.02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审慎估值调整</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商誉（扣除递延税负债）</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其他无形资产（土地使用权除外）（扣除递延税负债）</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241.54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依赖未来盈利的由经营亏损引起的净递延税资产</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对未按公允价值计量的项目进行套期形成的现金流储备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损失准备缺口</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资产证券化销售利得</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自身信用风险变化导致其负债公允价值变化带来的未实现损益</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确定受益类的养老金资产净额（扣除递延税负债）</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直接或间接持有本银行的股票</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银行间或银行与其他金融机构间通过协议相互持有的核心一级资本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对未并表金融机构小额少数资本投资中的核心一级资本中应扣除金额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val="en-US" w:eastAsia="zh-CN"/>
              </w:rPr>
            </w:pPr>
            <w:r>
              <w:rPr>
                <w:rFonts w:hint="eastAsia" w:ascii="仿宋_GB2312" w:hAnsi="宋体" w:eastAsia="仿宋_GB2312" w:cs="宋体"/>
                <w:color w:val="000000" w:themeColor="text1"/>
                <w:sz w:val="21"/>
                <w:szCs w:val="21"/>
                <w:lang w:val="en-US"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1</w:t>
            </w:r>
            <w:r>
              <w:rPr>
                <w:rFonts w:hint="eastAsia" w:ascii="仿宋_GB2312" w:eastAsia="仿宋_GB2312"/>
                <w:color w:val="000000" w:themeColor="text1"/>
                <w:sz w:val="21"/>
                <w:szCs w:val="21"/>
                <w:lang w:eastAsia="zh-CN"/>
              </w:rPr>
              <w:t>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对未并表金融机构大额少数资本投资中的核心一级资本中应扣除金额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19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其他依赖于银行未来盈利的净递延税资产中应扣除金额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对未并表金融机构大额少数资本投资中的核心一级资本和其他依赖于银行未来盈利的净递延税资产的未扣除部分超过核心一级资本</w:t>
            </w:r>
            <w:r>
              <w:rPr>
                <w:rFonts w:hint="eastAsia" w:ascii="仿宋_GB2312" w:hAnsi="Calibri" w:eastAsia="仿宋_GB2312" w:cs="Calibri"/>
                <w:color w:val="000000" w:themeColor="text1"/>
                <w:sz w:val="21"/>
                <w:szCs w:val="21"/>
                <w:lang w:eastAsia="zh-CN"/>
              </w:rPr>
              <w:t>15%</w:t>
            </w:r>
            <w:r>
              <w:rPr>
                <w:rFonts w:hint="eastAsia" w:ascii="仿宋_GB2312" w:hAnsi="宋体" w:eastAsia="仿宋_GB2312" w:cs="宋体"/>
                <w:color w:val="000000" w:themeColor="text1"/>
                <w:sz w:val="21"/>
                <w:szCs w:val="21"/>
                <w:lang w:eastAsia="zh-CN"/>
              </w:rPr>
              <w:t>的应扣除金额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420" w:firstLineChars="200"/>
              <w:rPr>
                <w:rFonts w:ascii="仿宋_GB2312" w:hAnsi="Calibri" w:eastAsia="仿宋_GB2312" w:cs="Calibri"/>
                <w:color w:val="000000" w:themeColor="text1"/>
                <w:sz w:val="21"/>
                <w:szCs w:val="21"/>
                <w:lang w:eastAsia="zh-CN"/>
              </w:rPr>
            </w:pPr>
            <w:r>
              <w:rPr>
                <w:rFonts w:hint="eastAsia" w:ascii="仿宋_GB2312" w:hAnsi="宋体" w:eastAsia="仿宋_GB2312" w:cs="Calibri"/>
                <w:color w:val="000000" w:themeColor="text1"/>
                <w:sz w:val="21"/>
                <w:szCs w:val="21"/>
                <w:lang w:eastAsia="zh-CN"/>
              </w:rPr>
              <w:t>其中：应在对金融机构大额少数资本投资中扣除的金额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420" w:firstLineChars="200"/>
              <w:rPr>
                <w:rFonts w:ascii="仿宋_GB2312" w:hAnsi="Calibri" w:eastAsia="仿宋_GB2312" w:cs="Calibri"/>
                <w:color w:val="000000" w:themeColor="text1"/>
                <w:sz w:val="21"/>
                <w:szCs w:val="21"/>
                <w:lang w:eastAsia="zh-CN"/>
              </w:rPr>
            </w:pPr>
            <w:r>
              <w:rPr>
                <w:rFonts w:hint="eastAsia" w:ascii="仿宋_GB2312" w:hAnsi="宋体" w:eastAsia="仿宋_GB2312" w:cs="Calibri"/>
                <w:color w:val="000000" w:themeColor="text1"/>
                <w:sz w:val="21"/>
                <w:szCs w:val="21"/>
                <w:lang w:eastAsia="zh-CN"/>
              </w:rPr>
              <w:t>其中：应在其他依赖于银行未来盈利的净递延税资产中扣除的金额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其他应在核心一级资本中扣除的项目合计</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应从其他一级资本和二级资本中扣除的未扣缺口</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CN"/>
              </w:rPr>
              <w:t>核心一级资本扣除项总和</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241.54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TW"/>
              </w:rPr>
              <w:t>核心一级资本</w:t>
            </w:r>
            <w:r>
              <w:rPr>
                <w:rFonts w:hint="eastAsia" w:ascii="仿宋_GB2312" w:hAnsi="宋体" w:eastAsia="仿宋_GB2312" w:cs="宋体"/>
                <w:b/>
                <w:color w:val="000000" w:themeColor="text1"/>
                <w:sz w:val="21"/>
                <w:szCs w:val="21"/>
                <w:lang w:eastAsia="zh-CN"/>
              </w:rPr>
              <w:t>净额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228</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161.48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其他一级资本工具及其溢价</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Calibri" w:eastAsia="仿宋_GB2312" w:cs="Calibri"/>
                <w:color w:val="000000" w:themeColor="text1"/>
                <w:sz w:val="21"/>
                <w:szCs w:val="21"/>
                <w:lang w:eastAsia="zh-CN"/>
              </w:rPr>
            </w:pPr>
            <w:r>
              <w:rPr>
                <w:rFonts w:hint="eastAsia" w:ascii="仿宋_GB2312" w:hAnsi="Calibri" w:eastAsia="仿宋_GB2312" w:cs="Calibri"/>
                <w:color w:val="000000" w:themeColor="text1"/>
                <w:sz w:val="21"/>
                <w:szCs w:val="21"/>
                <w:lang w:eastAsia="zh-TW"/>
              </w:rPr>
              <w:t xml:space="preserve">    </w:t>
            </w:r>
            <w:r>
              <w:rPr>
                <w:rFonts w:hint="eastAsia" w:ascii="仿宋_GB2312" w:hAnsi="宋体" w:eastAsia="仿宋_GB2312" w:cs="Calibri"/>
                <w:color w:val="000000" w:themeColor="text1"/>
                <w:sz w:val="21"/>
                <w:szCs w:val="21"/>
                <w:lang w:eastAsia="zh-TW"/>
              </w:rPr>
              <w:t>其中：权益部分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29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Calibri" w:eastAsia="仿宋_GB2312" w:cs="Calibri"/>
                <w:color w:val="000000" w:themeColor="text1"/>
                <w:sz w:val="21"/>
                <w:szCs w:val="21"/>
                <w:lang w:eastAsia="zh-CN"/>
              </w:rPr>
            </w:pPr>
            <w:r>
              <w:rPr>
                <w:rFonts w:hint="eastAsia" w:ascii="仿宋_GB2312" w:hAnsi="Calibri" w:eastAsia="仿宋_GB2312" w:cs="Calibri"/>
                <w:color w:val="000000" w:themeColor="text1"/>
                <w:sz w:val="21"/>
                <w:szCs w:val="21"/>
                <w:lang w:eastAsia="zh-TW"/>
              </w:rPr>
              <w:t xml:space="preserve">    </w:t>
            </w:r>
            <w:r>
              <w:rPr>
                <w:rFonts w:hint="eastAsia" w:ascii="仿宋_GB2312" w:hAnsi="宋体" w:eastAsia="仿宋_GB2312" w:cs="Calibri"/>
                <w:color w:val="000000" w:themeColor="text1"/>
                <w:sz w:val="21"/>
                <w:szCs w:val="21"/>
                <w:lang w:eastAsia="zh-TW"/>
              </w:rPr>
              <w:t>其中：负债部分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少数股东资本可计入部分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CN"/>
              </w:rPr>
              <w:t>扣除前的其他一级资本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直接或间接持有的本银行其他一级资本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银行间或银行与其他金融机构间通过协议相互持有的其他一级资本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对未并表金融机构小额少数资本投资中的其他一级资本中应扣除金额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对未并表金融机构大额少数资本投资中的其他一级资本中应扣除金额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其他应在其他一级资本中扣除的项目合计</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应从二级资本中扣除的未扣缺口</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CN"/>
              </w:rPr>
              <w:t>其他一级资本扣除项总和</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39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TW"/>
              </w:rPr>
              <w:t>其他一级资本净额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40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TW"/>
              </w:rPr>
              <w:t>一级资本</w:t>
            </w:r>
            <w:r>
              <w:rPr>
                <w:rFonts w:hint="eastAsia" w:ascii="仿宋_GB2312" w:hAnsi="宋体" w:eastAsia="仿宋_GB2312" w:cs="宋体"/>
                <w:b/>
                <w:bCs/>
                <w:color w:val="000000" w:themeColor="text1"/>
                <w:sz w:val="21"/>
                <w:szCs w:val="21"/>
                <w:lang w:eastAsia="zh-CN"/>
              </w:rPr>
              <w:t>净额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228</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161.48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41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二级资本工具及其溢价</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42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少数股东资本可计入部分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43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超额损失准备可计入部分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617.11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textAlignment w:val="top"/>
              <w:rPr>
                <w:rFonts w:ascii="仿宋_GB2312" w:hAnsi="宋体" w:eastAsia="仿宋_GB2312" w:cs="宋体"/>
                <w:color w:val="000000" w:themeColor="text1"/>
                <w:sz w:val="21"/>
                <w:szCs w:val="21"/>
                <w:lang w:eastAsia="zh-CN"/>
              </w:rPr>
            </w:pPr>
            <w:r>
              <w:rPr>
                <w:rFonts w:hint="eastAsia" w:ascii="仿宋_GB2312" w:hAnsi="宋体" w:eastAsia="仿宋_GB2312" w:cs="仿宋_GB2312"/>
                <w:color w:val="000000"/>
                <w:sz w:val="21"/>
                <w:szCs w:val="21"/>
                <w:lang w:eastAsia="zh-CN" w:bidi="ar"/>
              </w:rPr>
              <w:t>44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CN"/>
              </w:rPr>
              <w:t>扣除前的二级资本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617.11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45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直接或间接持有的本银行的二级资本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eastAsia="仿宋_GB2312"/>
                <w:color w:val="000000" w:themeColor="text1"/>
                <w:sz w:val="21"/>
                <w:szCs w:val="21"/>
              </w:rPr>
            </w:pPr>
            <w:r>
              <w:rPr>
                <w:rFonts w:hint="eastAsia" w:ascii="仿宋_GB2312" w:hAnsi="仿宋" w:eastAsia="仿宋_GB2312" w:cs="宋体"/>
                <w:color w:val="000000" w:themeColor="text1"/>
                <w:sz w:val="21"/>
                <w:szCs w:val="21"/>
                <w:lang w:eastAsia="zh-CN"/>
              </w:rPr>
              <w:t>46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银行间或银行与其他金融机构间通过协议相互持有的其他一级资本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47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对未并表金融机构小额少数资本投资中的二级资本中应扣除金额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48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对未并表金融机构大额少数资本投资中的二级资本</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49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其他应在二级资本中扣除的项目合计</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5</w:t>
            </w:r>
            <w:r>
              <w:rPr>
                <w:rFonts w:hint="eastAsia" w:ascii="仿宋_GB2312" w:eastAsia="仿宋_GB2312"/>
                <w:color w:val="000000" w:themeColor="text1"/>
                <w:sz w:val="21"/>
                <w:szCs w:val="21"/>
                <w:lang w:eastAsia="zh-CN"/>
              </w:rPr>
              <w:t>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CN"/>
              </w:rPr>
              <w:t>二级资本扣除项总和</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5</w:t>
            </w:r>
            <w:r>
              <w:rPr>
                <w:rFonts w:hint="eastAsia" w:ascii="仿宋_GB2312" w:eastAsia="仿宋_GB2312"/>
                <w:color w:val="000000" w:themeColor="text1"/>
                <w:sz w:val="21"/>
                <w:szCs w:val="21"/>
                <w:lang w:eastAsia="zh-CN"/>
              </w:rPr>
              <w:t>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TW"/>
              </w:rPr>
              <w:t>二级资本</w:t>
            </w:r>
            <w:r>
              <w:rPr>
                <w:rFonts w:hint="eastAsia" w:ascii="仿宋_GB2312" w:hAnsi="宋体" w:eastAsia="仿宋_GB2312" w:cs="宋体"/>
                <w:b/>
                <w:bCs/>
                <w:color w:val="000000" w:themeColor="text1"/>
                <w:sz w:val="21"/>
                <w:szCs w:val="21"/>
                <w:lang w:eastAsia="zh-CN"/>
              </w:rPr>
              <w:t>净额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617.11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5</w:t>
            </w:r>
            <w:r>
              <w:rPr>
                <w:rFonts w:hint="eastAsia" w:ascii="仿宋_GB2312" w:eastAsia="仿宋_GB2312"/>
                <w:color w:val="000000" w:themeColor="text1"/>
                <w:sz w:val="21"/>
                <w:szCs w:val="21"/>
                <w:lang w:eastAsia="zh-CN"/>
              </w:rPr>
              <w:t>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CN"/>
              </w:rPr>
              <w:t>总资本净额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253</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778.59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bCs/>
                <w:color w:val="000000" w:themeColor="text1"/>
                <w:sz w:val="21"/>
                <w:szCs w:val="21"/>
                <w:lang w:eastAsia="zh-CN"/>
              </w:rPr>
            </w:pPr>
            <w:r>
              <w:rPr>
                <w:rFonts w:hint="eastAsia" w:ascii="仿宋_GB2312" w:hAnsi="宋体" w:eastAsia="仿宋_GB2312" w:cs="宋体"/>
                <w:b/>
                <w:bCs/>
                <w:color w:val="000000" w:themeColor="text1"/>
                <w:sz w:val="21"/>
                <w:szCs w:val="21"/>
                <w:lang w:eastAsia="zh-TW"/>
              </w:rPr>
              <w:t>风险加权资产</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234</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236.39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TW"/>
              </w:rPr>
              <w:t>核心一级资本充足率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10.21%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TW"/>
              </w:rPr>
              <w:t>一级资本充足率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10.21%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TW"/>
              </w:rPr>
              <w:t>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11.3</w:t>
            </w:r>
            <w:r>
              <w:rPr>
                <w:rFonts w:hint="eastAsia" w:ascii="仿宋_GB2312" w:hAnsi="宋体" w:eastAsia="仿宋_GB2312" w:cs="宋体"/>
                <w:color w:val="000000" w:themeColor="text1"/>
                <w:sz w:val="21"/>
                <w:szCs w:val="21"/>
                <w:lang w:val="en-US" w:eastAsia="zh-CN"/>
              </w:rPr>
              <w:t>6</w:t>
            </w:r>
            <w:r>
              <w:rPr>
                <w:rFonts w:hint="eastAsia" w:ascii="仿宋_GB2312" w:hAnsi="宋体" w:eastAsia="仿宋_GB2312" w:cs="宋体"/>
                <w:color w:val="000000" w:themeColor="text1"/>
                <w:sz w:val="21"/>
                <w:szCs w:val="21"/>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b/>
                <w:color w:val="000000" w:themeColor="text1"/>
                <w:sz w:val="21"/>
                <w:szCs w:val="21"/>
                <w:lang w:eastAsia="zh-CN"/>
              </w:rPr>
            </w:pPr>
            <w:r>
              <w:rPr>
                <w:rFonts w:hint="eastAsia" w:ascii="仿宋_GB2312" w:hAnsi="宋体" w:eastAsia="仿宋_GB2312" w:cs="宋体"/>
                <w:b/>
                <w:color w:val="000000" w:themeColor="text1"/>
                <w:sz w:val="21"/>
                <w:szCs w:val="21"/>
                <w:lang w:eastAsia="zh-CN"/>
              </w:rPr>
              <w:t>其他各级资本要求（%）</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Calibri" w:eastAsia="仿宋_GB2312" w:cs="Calibri"/>
                <w:color w:val="000000" w:themeColor="text1"/>
                <w:sz w:val="21"/>
                <w:szCs w:val="21"/>
                <w:lang w:eastAsia="zh-CN"/>
              </w:rPr>
            </w:pPr>
            <w:r>
              <w:rPr>
                <w:rFonts w:hint="eastAsia" w:ascii="仿宋_GB2312" w:hAnsi="Calibri" w:eastAsia="仿宋_GB2312" w:cs="Calibri"/>
                <w:color w:val="000000" w:themeColor="text1"/>
                <w:sz w:val="21"/>
                <w:szCs w:val="21"/>
                <w:lang w:eastAsia="zh-TW"/>
              </w:rPr>
              <w:t xml:space="preserve">    </w:t>
            </w:r>
            <w:r>
              <w:rPr>
                <w:rFonts w:hint="eastAsia" w:ascii="仿宋_GB2312" w:hAnsi="宋体" w:eastAsia="仿宋_GB2312" w:cs="Calibri"/>
                <w:color w:val="000000" w:themeColor="text1"/>
                <w:sz w:val="21"/>
                <w:szCs w:val="21"/>
                <w:lang w:eastAsia="zh-TW"/>
              </w:rPr>
              <w:t>其中：储备资本要求</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59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Calibri" w:eastAsia="仿宋_GB2312" w:cs="Calibri"/>
                <w:color w:val="000000" w:themeColor="text1"/>
                <w:sz w:val="21"/>
                <w:szCs w:val="21"/>
                <w:lang w:eastAsia="zh-CN"/>
              </w:rPr>
            </w:pPr>
            <w:r>
              <w:rPr>
                <w:rFonts w:hint="eastAsia" w:ascii="仿宋_GB2312" w:hAnsi="Calibri" w:eastAsia="仿宋_GB2312" w:cs="Calibri"/>
                <w:color w:val="000000" w:themeColor="text1"/>
                <w:sz w:val="21"/>
                <w:szCs w:val="21"/>
                <w:lang w:eastAsia="zh-CN"/>
              </w:rPr>
              <w:t xml:space="preserve">    </w:t>
            </w:r>
            <w:r>
              <w:rPr>
                <w:rFonts w:hint="eastAsia" w:ascii="仿宋_GB2312" w:hAnsi="宋体" w:eastAsia="仿宋_GB2312" w:cs="Calibri"/>
                <w:color w:val="000000" w:themeColor="text1"/>
                <w:sz w:val="21"/>
                <w:szCs w:val="21"/>
                <w:lang w:eastAsia="zh-CN"/>
              </w:rPr>
              <w:t>其中：逆周期资本要求</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6</w:t>
            </w:r>
            <w:r>
              <w:rPr>
                <w:rFonts w:hint="eastAsia" w:ascii="仿宋_GB2312" w:eastAsia="仿宋_GB2312"/>
                <w:color w:val="000000" w:themeColor="text1"/>
                <w:sz w:val="21"/>
                <w:szCs w:val="21"/>
                <w:lang w:eastAsia="zh-CN"/>
              </w:rPr>
              <w:t>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Calibri" w:eastAsia="仿宋_GB2312" w:cs="Calibri"/>
                <w:color w:val="000000" w:themeColor="text1"/>
                <w:sz w:val="21"/>
                <w:szCs w:val="21"/>
                <w:lang w:eastAsia="zh-CN"/>
              </w:rPr>
            </w:pPr>
            <w:r>
              <w:rPr>
                <w:rFonts w:hint="eastAsia" w:ascii="仿宋_GB2312" w:hAnsi="Calibri" w:eastAsia="仿宋_GB2312" w:cs="Calibri"/>
                <w:color w:val="000000" w:themeColor="text1"/>
                <w:sz w:val="21"/>
                <w:szCs w:val="21"/>
                <w:lang w:eastAsia="zh-CN"/>
              </w:rPr>
              <w:t xml:space="preserve">    </w:t>
            </w:r>
            <w:r>
              <w:rPr>
                <w:rFonts w:hint="eastAsia" w:ascii="仿宋_GB2312" w:hAnsi="宋体" w:eastAsia="仿宋_GB2312" w:cs="Calibri"/>
                <w:color w:val="000000" w:themeColor="text1"/>
                <w:sz w:val="21"/>
                <w:szCs w:val="21"/>
                <w:lang w:eastAsia="zh-CN"/>
              </w:rPr>
              <w:t>其中：全球系统重要性银行或国内系统重要性银行附加资本要求</w:t>
            </w:r>
          </w:p>
        </w:tc>
        <w:tc>
          <w:tcPr>
            <w:tcW w:w="3594"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520" w:lineRule="exact"/>
              <w:jc w:val="center"/>
              <w:rPr>
                <w:rFonts w:ascii="仿宋_GB2312" w:hAnsi="宋体" w:eastAsia="仿宋_GB2312" w:cs="宋体"/>
                <w:color w:val="000000" w:themeColor="text1"/>
                <w:sz w:val="21"/>
                <w:szCs w:val="21"/>
                <w:lang w:eastAsia="zh-CN"/>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6</w:t>
            </w:r>
            <w:r>
              <w:rPr>
                <w:rFonts w:hint="eastAsia" w:ascii="仿宋_GB2312" w:eastAsia="仿宋_GB2312"/>
                <w:color w:val="000000" w:themeColor="text1"/>
                <w:sz w:val="21"/>
                <w:szCs w:val="21"/>
                <w:lang w:eastAsia="zh-CN"/>
              </w:rPr>
              <w:t>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
                <w:color w:val="000000" w:themeColor="text1"/>
                <w:sz w:val="21"/>
                <w:szCs w:val="21"/>
                <w:lang w:eastAsia="zh-CN"/>
              </w:rPr>
            </w:pPr>
            <w:r>
              <w:rPr>
                <w:rFonts w:hint="eastAsia" w:ascii="仿宋_GB2312" w:hAnsi="仿宋_GB2312" w:eastAsia="仿宋_GB2312" w:cs="仿宋_GB2312"/>
                <w:b/>
                <w:bCs/>
                <w:color w:val="000000" w:themeColor="text1"/>
                <w:sz w:val="21"/>
                <w:szCs w:val="21"/>
                <w:lang w:eastAsia="zh-CN"/>
              </w:rPr>
              <w:t>满足最低资本要求后的可用核心一级资本净额占风险加权资产的比例</w:t>
            </w:r>
            <w:r>
              <w:rPr>
                <w:rFonts w:hint="eastAsia" w:ascii="仿宋_GB2312" w:hAnsi="宋体" w:eastAsia="仿宋_GB2312" w:cs="宋体"/>
                <w:b/>
                <w:color w:val="000000" w:themeColor="text1"/>
                <w:sz w:val="21"/>
                <w:szCs w:val="21"/>
                <w:lang w:eastAsia="zh-CN"/>
              </w:rPr>
              <w:t>（%）</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val="en-US" w:eastAsia="zh-CN"/>
              </w:rPr>
              <w:t>3.36</w:t>
            </w:r>
            <w:r>
              <w:rPr>
                <w:rFonts w:ascii="仿宋_GB2312" w:hAnsi="宋体" w:eastAsia="仿宋_GB2312"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rPr>
              <w:t>6</w:t>
            </w:r>
            <w:r>
              <w:rPr>
                <w:rFonts w:hint="eastAsia" w:ascii="仿宋_GB2312" w:eastAsia="仿宋_GB2312"/>
                <w:color w:val="000000" w:themeColor="text1"/>
                <w:sz w:val="21"/>
                <w:szCs w:val="21"/>
                <w:lang w:eastAsia="zh-CN"/>
              </w:rPr>
              <w:t>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核心一级资本充足率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5.00</w:t>
            </w:r>
            <w:r>
              <w:rPr>
                <w:rFonts w:ascii="仿宋_GB2312" w:hAnsi="宋体" w:eastAsia="仿宋_GB2312"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一级资本充足率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6.00</w:t>
            </w:r>
            <w:r>
              <w:rPr>
                <w:rFonts w:ascii="仿宋_GB2312" w:hAnsi="宋体" w:eastAsia="仿宋_GB2312"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TW"/>
              </w:rPr>
              <w:t>资本充足率</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8.00</w:t>
            </w:r>
            <w:r>
              <w:rPr>
                <w:rFonts w:ascii="仿宋_GB2312" w:hAnsi="宋体" w:eastAsia="仿宋_GB2312"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对未并表金融机构的小额少数资本投资中未扣除部分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对未并表金融机构的大额少数资本投资中未扣除部分</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其他依赖于银行未来盈利的净递延税资产（扣除递延税负债）</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权重法下，实际计提的超额损失准备金额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49</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168.54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eastAsia="仿宋_GB2312"/>
                <w:color w:val="000000" w:themeColor="text1"/>
                <w:sz w:val="21"/>
                <w:szCs w:val="21"/>
                <w:lang w:eastAsia="zh-CN"/>
              </w:rPr>
              <w:t>69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权重法下，可计入二级资本超额损失准备的数额</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仿宋_GB2312" w:hAnsi="宋体" w:eastAsia="仿宋_GB2312" w:cs="宋体"/>
                <w:color w:val="000000" w:themeColor="text1"/>
                <w:sz w:val="21"/>
                <w:szCs w:val="21"/>
                <w:lang w:eastAsia="zh-CN"/>
              </w:rPr>
            </w:pPr>
            <w:r>
              <w:rPr>
                <w:rFonts w:hint="eastAsia" w:ascii="仿宋_GB2312" w:hAnsi="宋体" w:eastAsia="仿宋_GB2312" w:cs="宋体"/>
                <w:color w:val="000000" w:themeColor="text1"/>
                <w:sz w:val="21"/>
                <w:szCs w:val="21"/>
                <w:lang w:eastAsia="zh-CN"/>
              </w:rPr>
              <w:t>25</w:t>
            </w:r>
            <w:r>
              <w:rPr>
                <w:rFonts w:hint="eastAsia" w:ascii="仿宋_GB2312" w:hAnsi="宋体" w:eastAsia="仿宋_GB2312" w:cs="宋体"/>
                <w:color w:val="000000" w:themeColor="text1"/>
                <w:sz w:val="21"/>
                <w:szCs w:val="21"/>
                <w:lang w:val="en-US" w:eastAsia="zh-CN"/>
              </w:rPr>
              <w:t>,</w:t>
            </w:r>
            <w:r>
              <w:rPr>
                <w:rFonts w:hint="eastAsia" w:ascii="仿宋_GB2312" w:hAnsi="宋体" w:eastAsia="仿宋_GB2312" w:cs="宋体"/>
                <w:color w:val="000000" w:themeColor="text1"/>
                <w:sz w:val="21"/>
                <w:szCs w:val="21"/>
                <w:lang w:eastAsia="zh-CN"/>
              </w:rPr>
              <w:t>617.11</w:t>
            </w:r>
            <w:bookmarkStart w:id="0" w:name="_GoBack"/>
            <w:bookmarkEnd w:id="0"/>
          </w:p>
        </w:tc>
      </w:tr>
    </w:tbl>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440" w:lineRule="exact"/>
        <w:ind w:firstLine="6080" w:firstLineChars="1900"/>
        <w:jc w:val="both"/>
        <w:rPr>
          <w:rFonts w:ascii="仿宋_GB2312" w:hAnsi="宋体" w:eastAsia="仿宋_GB2312" w:cs="宋体"/>
          <w:color w:val="000000" w:themeColor="text1"/>
          <w:sz w:val="32"/>
          <w:szCs w:val="32"/>
          <w:lang w:eastAsia="zh-CN"/>
        </w:rPr>
      </w:pPr>
      <w:r>
        <w:rPr>
          <w:rFonts w:hint="eastAsia" w:ascii="仿宋_GB2312" w:hAnsi="宋体" w:eastAsia="仿宋_GB2312" w:cs="宋体"/>
          <w:color w:val="000000" w:themeColor="text1"/>
          <w:sz w:val="32"/>
          <w:szCs w:val="32"/>
          <w:lang w:val="en-US" w:eastAsia="zh-CN"/>
        </w:rPr>
        <w:t>鹰潭</w:t>
      </w:r>
      <w:r>
        <w:rPr>
          <w:rFonts w:hint="eastAsia" w:ascii="仿宋_GB2312" w:hAnsi="宋体" w:eastAsia="仿宋_GB2312" w:cs="宋体"/>
          <w:color w:val="000000" w:themeColor="text1"/>
          <w:sz w:val="32"/>
          <w:szCs w:val="32"/>
          <w:lang w:eastAsia="zh-CN"/>
        </w:rPr>
        <w:t>农商银行</w:t>
      </w:r>
    </w:p>
    <w:p>
      <w:pPr>
        <w:widowControl w:val="0"/>
        <w:spacing w:line="440" w:lineRule="exact"/>
        <w:ind w:firstLine="5760" w:firstLineChars="1800"/>
        <w:jc w:val="both"/>
        <w:rPr>
          <w:rFonts w:ascii="仿宋_GB2312" w:hAnsi="宋体" w:eastAsia="仿宋_GB2312" w:cs="宋体"/>
          <w:color w:val="000000" w:themeColor="text1"/>
          <w:sz w:val="32"/>
          <w:szCs w:val="32"/>
          <w:lang w:eastAsia="zh-CN"/>
        </w:rPr>
      </w:pPr>
      <w:r>
        <w:rPr>
          <w:rFonts w:hint="eastAsia" w:ascii="仿宋_GB2312" w:hAnsi="宋体" w:eastAsia="仿宋_GB2312" w:cs="宋体"/>
          <w:color w:val="000000" w:themeColor="text1"/>
          <w:sz w:val="32"/>
          <w:szCs w:val="32"/>
          <w:lang w:eastAsia="zh-CN"/>
        </w:rPr>
        <w:t>202</w:t>
      </w:r>
      <w:r>
        <w:rPr>
          <w:rFonts w:ascii="仿宋_GB2312" w:hAnsi="宋体" w:eastAsia="仿宋_GB2312" w:cs="宋体"/>
          <w:color w:val="000000" w:themeColor="text1"/>
          <w:sz w:val="32"/>
          <w:szCs w:val="32"/>
          <w:lang w:eastAsia="zh-CN"/>
        </w:rPr>
        <w:t>5</w:t>
      </w:r>
      <w:r>
        <w:rPr>
          <w:rFonts w:hint="eastAsia" w:ascii="仿宋_GB2312" w:hAnsi="宋体" w:eastAsia="仿宋_GB2312" w:cs="宋体"/>
          <w:color w:val="000000" w:themeColor="text1"/>
          <w:sz w:val="32"/>
          <w:szCs w:val="32"/>
          <w:lang w:eastAsia="zh-CN"/>
        </w:rPr>
        <w:t>年</w:t>
      </w:r>
      <w:r>
        <w:rPr>
          <w:rFonts w:hint="eastAsia" w:ascii="仿宋_GB2312" w:hAnsi="宋体" w:eastAsia="仿宋_GB2312" w:cs="宋体"/>
          <w:color w:val="000000" w:themeColor="text1"/>
          <w:sz w:val="32"/>
          <w:szCs w:val="32"/>
          <w:lang w:val="en-US" w:eastAsia="zh-CN"/>
        </w:rPr>
        <w:t>7</w:t>
      </w:r>
      <w:r>
        <w:rPr>
          <w:rFonts w:hint="eastAsia" w:ascii="仿宋_GB2312" w:hAnsi="宋体" w:eastAsia="仿宋_GB2312" w:cs="宋体"/>
          <w:color w:val="000000" w:themeColor="text1"/>
          <w:sz w:val="32"/>
          <w:szCs w:val="32"/>
          <w:lang w:eastAsia="zh-CN"/>
        </w:rPr>
        <w:t>月</w:t>
      </w:r>
      <w:r>
        <w:rPr>
          <w:rFonts w:hint="eastAsia" w:ascii="仿宋_GB2312" w:hAnsi="宋体" w:eastAsia="仿宋_GB2312" w:cs="宋体"/>
          <w:color w:val="000000" w:themeColor="text1"/>
          <w:sz w:val="32"/>
          <w:szCs w:val="32"/>
          <w:lang w:val="en-US" w:eastAsia="zh-CN"/>
        </w:rPr>
        <w:t>21</w:t>
      </w:r>
      <w:r>
        <w:rPr>
          <w:rFonts w:hint="eastAsia" w:ascii="仿宋_GB2312" w:hAnsi="宋体" w:eastAsia="仿宋_GB2312" w:cs="宋体"/>
          <w:color w:val="000000" w:themeColor="text1"/>
          <w:sz w:val="32"/>
          <w:szCs w:val="32"/>
          <w:lang w:eastAsia="zh-CN"/>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mZDcyZGZhMmRiYTE1OTA0ZWJiZWE1YWU3Y2RjZjEifQ=="/>
  </w:docVars>
  <w:rsids>
    <w:rsidRoot w:val="00852BCD"/>
    <w:rsid w:val="000016D6"/>
    <w:rsid w:val="00002DDE"/>
    <w:rsid w:val="00003755"/>
    <w:rsid w:val="000046A9"/>
    <w:rsid w:val="000047BA"/>
    <w:rsid w:val="00006B9A"/>
    <w:rsid w:val="00011A9E"/>
    <w:rsid w:val="00015172"/>
    <w:rsid w:val="00015DF4"/>
    <w:rsid w:val="00016BD7"/>
    <w:rsid w:val="00020421"/>
    <w:rsid w:val="00020CC9"/>
    <w:rsid w:val="00021B90"/>
    <w:rsid w:val="000246A0"/>
    <w:rsid w:val="00027B63"/>
    <w:rsid w:val="00035883"/>
    <w:rsid w:val="000408F0"/>
    <w:rsid w:val="00040CB4"/>
    <w:rsid w:val="000418C7"/>
    <w:rsid w:val="0004386D"/>
    <w:rsid w:val="000478AF"/>
    <w:rsid w:val="0005527B"/>
    <w:rsid w:val="00055B2A"/>
    <w:rsid w:val="00055C1C"/>
    <w:rsid w:val="0006009B"/>
    <w:rsid w:val="00061E4F"/>
    <w:rsid w:val="000727EE"/>
    <w:rsid w:val="00073AD9"/>
    <w:rsid w:val="00075D31"/>
    <w:rsid w:val="00076A97"/>
    <w:rsid w:val="00085E7D"/>
    <w:rsid w:val="00086206"/>
    <w:rsid w:val="00091ACF"/>
    <w:rsid w:val="000A31A9"/>
    <w:rsid w:val="000A3936"/>
    <w:rsid w:val="000A44EF"/>
    <w:rsid w:val="000B389C"/>
    <w:rsid w:val="000B3E8D"/>
    <w:rsid w:val="000C3E7B"/>
    <w:rsid w:val="000C5FEE"/>
    <w:rsid w:val="000C76EA"/>
    <w:rsid w:val="000C7D13"/>
    <w:rsid w:val="000D1A46"/>
    <w:rsid w:val="000E0B7A"/>
    <w:rsid w:val="000E3D97"/>
    <w:rsid w:val="000E4B2E"/>
    <w:rsid w:val="000F5905"/>
    <w:rsid w:val="000F76FA"/>
    <w:rsid w:val="000F7BE5"/>
    <w:rsid w:val="00106C43"/>
    <w:rsid w:val="00106D28"/>
    <w:rsid w:val="00117571"/>
    <w:rsid w:val="001221B4"/>
    <w:rsid w:val="0012221F"/>
    <w:rsid w:val="00122EEB"/>
    <w:rsid w:val="001243A0"/>
    <w:rsid w:val="0012462A"/>
    <w:rsid w:val="001263D6"/>
    <w:rsid w:val="00132F40"/>
    <w:rsid w:val="00134922"/>
    <w:rsid w:val="00135A38"/>
    <w:rsid w:val="001462C7"/>
    <w:rsid w:val="001472F9"/>
    <w:rsid w:val="00163320"/>
    <w:rsid w:val="00165D48"/>
    <w:rsid w:val="00166585"/>
    <w:rsid w:val="00177E05"/>
    <w:rsid w:val="00183BC2"/>
    <w:rsid w:val="001853A2"/>
    <w:rsid w:val="001A05B8"/>
    <w:rsid w:val="001A3872"/>
    <w:rsid w:val="001A47CC"/>
    <w:rsid w:val="001A4956"/>
    <w:rsid w:val="001B19F1"/>
    <w:rsid w:val="001C7150"/>
    <w:rsid w:val="001D581A"/>
    <w:rsid w:val="001D672F"/>
    <w:rsid w:val="001E2D8A"/>
    <w:rsid w:val="001E7A35"/>
    <w:rsid w:val="001F304A"/>
    <w:rsid w:val="00202FD4"/>
    <w:rsid w:val="00207CD1"/>
    <w:rsid w:val="00211ED2"/>
    <w:rsid w:val="00217557"/>
    <w:rsid w:val="00221D3D"/>
    <w:rsid w:val="00222312"/>
    <w:rsid w:val="002238F7"/>
    <w:rsid w:val="00226AF9"/>
    <w:rsid w:val="00230EBB"/>
    <w:rsid w:val="0023437C"/>
    <w:rsid w:val="00235410"/>
    <w:rsid w:val="00244107"/>
    <w:rsid w:val="002469A8"/>
    <w:rsid w:val="00256C10"/>
    <w:rsid w:val="00283377"/>
    <w:rsid w:val="0028425A"/>
    <w:rsid w:val="00297957"/>
    <w:rsid w:val="002A1061"/>
    <w:rsid w:val="002A10EB"/>
    <w:rsid w:val="002A3AB6"/>
    <w:rsid w:val="002A7BB1"/>
    <w:rsid w:val="002B7EBE"/>
    <w:rsid w:val="002C0752"/>
    <w:rsid w:val="002C336A"/>
    <w:rsid w:val="002C38FC"/>
    <w:rsid w:val="002D1330"/>
    <w:rsid w:val="002D59B3"/>
    <w:rsid w:val="002D5B1A"/>
    <w:rsid w:val="002E4CBA"/>
    <w:rsid w:val="002E7246"/>
    <w:rsid w:val="002E7A13"/>
    <w:rsid w:val="002F2578"/>
    <w:rsid w:val="002F60A4"/>
    <w:rsid w:val="00305094"/>
    <w:rsid w:val="003053D2"/>
    <w:rsid w:val="00316132"/>
    <w:rsid w:val="0033436B"/>
    <w:rsid w:val="003351D8"/>
    <w:rsid w:val="003417B1"/>
    <w:rsid w:val="00352EC7"/>
    <w:rsid w:val="003571D7"/>
    <w:rsid w:val="0036462F"/>
    <w:rsid w:val="00365BB4"/>
    <w:rsid w:val="00377B1B"/>
    <w:rsid w:val="003943A1"/>
    <w:rsid w:val="0039520E"/>
    <w:rsid w:val="003B4077"/>
    <w:rsid w:val="003B4A2D"/>
    <w:rsid w:val="003C5D89"/>
    <w:rsid w:val="003D0B71"/>
    <w:rsid w:val="003D1A29"/>
    <w:rsid w:val="003E3131"/>
    <w:rsid w:val="003E6C2D"/>
    <w:rsid w:val="003F0555"/>
    <w:rsid w:val="00406CB9"/>
    <w:rsid w:val="00407FE4"/>
    <w:rsid w:val="00412A2B"/>
    <w:rsid w:val="00412B99"/>
    <w:rsid w:val="004353E7"/>
    <w:rsid w:val="00441982"/>
    <w:rsid w:val="00441B91"/>
    <w:rsid w:val="0046514E"/>
    <w:rsid w:val="0047572F"/>
    <w:rsid w:val="00477DD8"/>
    <w:rsid w:val="004934C2"/>
    <w:rsid w:val="00494ECD"/>
    <w:rsid w:val="004962B2"/>
    <w:rsid w:val="004A31BD"/>
    <w:rsid w:val="004B35E0"/>
    <w:rsid w:val="004C2991"/>
    <w:rsid w:val="004C36A6"/>
    <w:rsid w:val="004C5F39"/>
    <w:rsid w:val="004C796E"/>
    <w:rsid w:val="004D0D69"/>
    <w:rsid w:val="004D28B6"/>
    <w:rsid w:val="004D3B91"/>
    <w:rsid w:val="004D529B"/>
    <w:rsid w:val="004E0B25"/>
    <w:rsid w:val="004E242A"/>
    <w:rsid w:val="004E4678"/>
    <w:rsid w:val="004F24D7"/>
    <w:rsid w:val="004F6060"/>
    <w:rsid w:val="00517F6A"/>
    <w:rsid w:val="00523048"/>
    <w:rsid w:val="00526A35"/>
    <w:rsid w:val="00531473"/>
    <w:rsid w:val="0054107B"/>
    <w:rsid w:val="00550C68"/>
    <w:rsid w:val="00550E31"/>
    <w:rsid w:val="00570B1B"/>
    <w:rsid w:val="0057427E"/>
    <w:rsid w:val="00574FAF"/>
    <w:rsid w:val="005760FF"/>
    <w:rsid w:val="00586408"/>
    <w:rsid w:val="00594979"/>
    <w:rsid w:val="00595EFC"/>
    <w:rsid w:val="00596023"/>
    <w:rsid w:val="005A0B3F"/>
    <w:rsid w:val="005A3EF6"/>
    <w:rsid w:val="005B4E9B"/>
    <w:rsid w:val="005B50A3"/>
    <w:rsid w:val="005C002C"/>
    <w:rsid w:val="005C1940"/>
    <w:rsid w:val="005C4C83"/>
    <w:rsid w:val="005D4888"/>
    <w:rsid w:val="005D5D25"/>
    <w:rsid w:val="005D772B"/>
    <w:rsid w:val="005E0665"/>
    <w:rsid w:val="005E187B"/>
    <w:rsid w:val="005E5B60"/>
    <w:rsid w:val="005F03FE"/>
    <w:rsid w:val="00603FAE"/>
    <w:rsid w:val="006060D8"/>
    <w:rsid w:val="006071F2"/>
    <w:rsid w:val="00607CB7"/>
    <w:rsid w:val="00614F47"/>
    <w:rsid w:val="00620E5F"/>
    <w:rsid w:val="0062319B"/>
    <w:rsid w:val="00623FC2"/>
    <w:rsid w:val="006248DB"/>
    <w:rsid w:val="006272AD"/>
    <w:rsid w:val="00634F7B"/>
    <w:rsid w:val="0064469F"/>
    <w:rsid w:val="00651BCA"/>
    <w:rsid w:val="006623AA"/>
    <w:rsid w:val="00664FC9"/>
    <w:rsid w:val="00667AA9"/>
    <w:rsid w:val="006815EC"/>
    <w:rsid w:val="00692226"/>
    <w:rsid w:val="006A58BF"/>
    <w:rsid w:val="006A66B8"/>
    <w:rsid w:val="006B5616"/>
    <w:rsid w:val="006D6DDC"/>
    <w:rsid w:val="006E08E9"/>
    <w:rsid w:val="006F01B3"/>
    <w:rsid w:val="00702ABF"/>
    <w:rsid w:val="00724CEF"/>
    <w:rsid w:val="00725512"/>
    <w:rsid w:val="00742F93"/>
    <w:rsid w:val="00747252"/>
    <w:rsid w:val="00756D4D"/>
    <w:rsid w:val="00760353"/>
    <w:rsid w:val="00772D3F"/>
    <w:rsid w:val="0078521C"/>
    <w:rsid w:val="00785FE6"/>
    <w:rsid w:val="00786855"/>
    <w:rsid w:val="00786C33"/>
    <w:rsid w:val="00792873"/>
    <w:rsid w:val="0079487B"/>
    <w:rsid w:val="0079678D"/>
    <w:rsid w:val="00797AA5"/>
    <w:rsid w:val="007A273A"/>
    <w:rsid w:val="007B2FE4"/>
    <w:rsid w:val="007B5DDA"/>
    <w:rsid w:val="007C20C9"/>
    <w:rsid w:val="007D13EA"/>
    <w:rsid w:val="007E1D23"/>
    <w:rsid w:val="007E703E"/>
    <w:rsid w:val="007F5A5E"/>
    <w:rsid w:val="007F5B4A"/>
    <w:rsid w:val="00806042"/>
    <w:rsid w:val="00806582"/>
    <w:rsid w:val="00824E7B"/>
    <w:rsid w:val="00831F64"/>
    <w:rsid w:val="00846343"/>
    <w:rsid w:val="00852BCD"/>
    <w:rsid w:val="008567E3"/>
    <w:rsid w:val="008627EC"/>
    <w:rsid w:val="0086510E"/>
    <w:rsid w:val="00867172"/>
    <w:rsid w:val="008719B6"/>
    <w:rsid w:val="0087473F"/>
    <w:rsid w:val="00883ECE"/>
    <w:rsid w:val="0088647C"/>
    <w:rsid w:val="008876F1"/>
    <w:rsid w:val="00887D08"/>
    <w:rsid w:val="008A0282"/>
    <w:rsid w:val="008A0518"/>
    <w:rsid w:val="008A510B"/>
    <w:rsid w:val="008B41E8"/>
    <w:rsid w:val="008B77B0"/>
    <w:rsid w:val="008C1881"/>
    <w:rsid w:val="008C1BAC"/>
    <w:rsid w:val="008C623D"/>
    <w:rsid w:val="008C7E91"/>
    <w:rsid w:val="008D3E86"/>
    <w:rsid w:val="008D3FCE"/>
    <w:rsid w:val="008D63A4"/>
    <w:rsid w:val="008D7484"/>
    <w:rsid w:val="008E3ABD"/>
    <w:rsid w:val="008E5ABD"/>
    <w:rsid w:val="008E7E3B"/>
    <w:rsid w:val="0090263F"/>
    <w:rsid w:val="00904F01"/>
    <w:rsid w:val="00905971"/>
    <w:rsid w:val="00916929"/>
    <w:rsid w:val="00924732"/>
    <w:rsid w:val="009473BA"/>
    <w:rsid w:val="00950CB6"/>
    <w:rsid w:val="009511C9"/>
    <w:rsid w:val="00951600"/>
    <w:rsid w:val="009618CB"/>
    <w:rsid w:val="00962758"/>
    <w:rsid w:val="00963066"/>
    <w:rsid w:val="0096675C"/>
    <w:rsid w:val="009751FD"/>
    <w:rsid w:val="00975372"/>
    <w:rsid w:val="00983771"/>
    <w:rsid w:val="0099157D"/>
    <w:rsid w:val="009A004E"/>
    <w:rsid w:val="009B308E"/>
    <w:rsid w:val="009B5FEF"/>
    <w:rsid w:val="009C5DAC"/>
    <w:rsid w:val="009D1821"/>
    <w:rsid w:val="009D368F"/>
    <w:rsid w:val="009E249A"/>
    <w:rsid w:val="009E56BC"/>
    <w:rsid w:val="009F749D"/>
    <w:rsid w:val="00A02061"/>
    <w:rsid w:val="00A04754"/>
    <w:rsid w:val="00A06DE1"/>
    <w:rsid w:val="00A1307C"/>
    <w:rsid w:val="00A24216"/>
    <w:rsid w:val="00A26380"/>
    <w:rsid w:val="00A30276"/>
    <w:rsid w:val="00A322A7"/>
    <w:rsid w:val="00A463F3"/>
    <w:rsid w:val="00A57E3A"/>
    <w:rsid w:val="00A6040B"/>
    <w:rsid w:val="00A765A6"/>
    <w:rsid w:val="00A83BAC"/>
    <w:rsid w:val="00A91CA6"/>
    <w:rsid w:val="00A91E5C"/>
    <w:rsid w:val="00A93FAD"/>
    <w:rsid w:val="00AA3563"/>
    <w:rsid w:val="00AA4D97"/>
    <w:rsid w:val="00AA511B"/>
    <w:rsid w:val="00AA6BCA"/>
    <w:rsid w:val="00AA7E87"/>
    <w:rsid w:val="00AB2ED1"/>
    <w:rsid w:val="00AD00BD"/>
    <w:rsid w:val="00AE3D88"/>
    <w:rsid w:val="00AF24A2"/>
    <w:rsid w:val="00AF4BE2"/>
    <w:rsid w:val="00AF4ED2"/>
    <w:rsid w:val="00AF7AF2"/>
    <w:rsid w:val="00B03A95"/>
    <w:rsid w:val="00B054F4"/>
    <w:rsid w:val="00B10B5F"/>
    <w:rsid w:val="00B15ADE"/>
    <w:rsid w:val="00B168D0"/>
    <w:rsid w:val="00B22273"/>
    <w:rsid w:val="00B22F9E"/>
    <w:rsid w:val="00B3386A"/>
    <w:rsid w:val="00B34D64"/>
    <w:rsid w:val="00B365F6"/>
    <w:rsid w:val="00B5192C"/>
    <w:rsid w:val="00B64B9D"/>
    <w:rsid w:val="00B84BCC"/>
    <w:rsid w:val="00B85969"/>
    <w:rsid w:val="00B8719B"/>
    <w:rsid w:val="00B92BBC"/>
    <w:rsid w:val="00B9684C"/>
    <w:rsid w:val="00BB0336"/>
    <w:rsid w:val="00BB18F7"/>
    <w:rsid w:val="00BB4C29"/>
    <w:rsid w:val="00BD0073"/>
    <w:rsid w:val="00BD383B"/>
    <w:rsid w:val="00BE5F1C"/>
    <w:rsid w:val="00BE6DC1"/>
    <w:rsid w:val="00BF4768"/>
    <w:rsid w:val="00C04D53"/>
    <w:rsid w:val="00C10C14"/>
    <w:rsid w:val="00C11A90"/>
    <w:rsid w:val="00C17CB1"/>
    <w:rsid w:val="00C24EAA"/>
    <w:rsid w:val="00C25531"/>
    <w:rsid w:val="00C34274"/>
    <w:rsid w:val="00C3453F"/>
    <w:rsid w:val="00C42BBB"/>
    <w:rsid w:val="00C44CF0"/>
    <w:rsid w:val="00C60038"/>
    <w:rsid w:val="00C60E32"/>
    <w:rsid w:val="00C64156"/>
    <w:rsid w:val="00C64C54"/>
    <w:rsid w:val="00C659C1"/>
    <w:rsid w:val="00C72E21"/>
    <w:rsid w:val="00C75353"/>
    <w:rsid w:val="00C84F15"/>
    <w:rsid w:val="00C93708"/>
    <w:rsid w:val="00C95E61"/>
    <w:rsid w:val="00CC1BC5"/>
    <w:rsid w:val="00CC5D71"/>
    <w:rsid w:val="00CC6E32"/>
    <w:rsid w:val="00CD611A"/>
    <w:rsid w:val="00CD7AA4"/>
    <w:rsid w:val="00CE379C"/>
    <w:rsid w:val="00CE6B41"/>
    <w:rsid w:val="00D12949"/>
    <w:rsid w:val="00D143DE"/>
    <w:rsid w:val="00D14889"/>
    <w:rsid w:val="00D21EA4"/>
    <w:rsid w:val="00D230D6"/>
    <w:rsid w:val="00D24F92"/>
    <w:rsid w:val="00D31A11"/>
    <w:rsid w:val="00D31F6B"/>
    <w:rsid w:val="00D32FCE"/>
    <w:rsid w:val="00D33F91"/>
    <w:rsid w:val="00D37C26"/>
    <w:rsid w:val="00D43BC6"/>
    <w:rsid w:val="00D44247"/>
    <w:rsid w:val="00D50BAF"/>
    <w:rsid w:val="00D57839"/>
    <w:rsid w:val="00D5789D"/>
    <w:rsid w:val="00D6573F"/>
    <w:rsid w:val="00D70F84"/>
    <w:rsid w:val="00D749CC"/>
    <w:rsid w:val="00D7737C"/>
    <w:rsid w:val="00D77C8F"/>
    <w:rsid w:val="00D86B73"/>
    <w:rsid w:val="00D947BB"/>
    <w:rsid w:val="00D94C75"/>
    <w:rsid w:val="00DA0CF0"/>
    <w:rsid w:val="00DA0FF7"/>
    <w:rsid w:val="00DA794A"/>
    <w:rsid w:val="00DB6CFA"/>
    <w:rsid w:val="00DB745A"/>
    <w:rsid w:val="00DD24CE"/>
    <w:rsid w:val="00DD24DA"/>
    <w:rsid w:val="00DD569B"/>
    <w:rsid w:val="00DE420B"/>
    <w:rsid w:val="00DE5F9D"/>
    <w:rsid w:val="00E07915"/>
    <w:rsid w:val="00E161BD"/>
    <w:rsid w:val="00E17413"/>
    <w:rsid w:val="00E44078"/>
    <w:rsid w:val="00E44190"/>
    <w:rsid w:val="00E578C5"/>
    <w:rsid w:val="00E91B30"/>
    <w:rsid w:val="00EA0A4A"/>
    <w:rsid w:val="00EA6D0B"/>
    <w:rsid w:val="00EA7637"/>
    <w:rsid w:val="00EB0079"/>
    <w:rsid w:val="00EB309C"/>
    <w:rsid w:val="00EB4BDE"/>
    <w:rsid w:val="00EB53CC"/>
    <w:rsid w:val="00EB5F4A"/>
    <w:rsid w:val="00F01907"/>
    <w:rsid w:val="00F11C79"/>
    <w:rsid w:val="00F1284E"/>
    <w:rsid w:val="00F41FC1"/>
    <w:rsid w:val="00F51A18"/>
    <w:rsid w:val="00F64418"/>
    <w:rsid w:val="00F650E5"/>
    <w:rsid w:val="00F855E4"/>
    <w:rsid w:val="00F91745"/>
    <w:rsid w:val="00F9294D"/>
    <w:rsid w:val="00FA26AB"/>
    <w:rsid w:val="00FA2D40"/>
    <w:rsid w:val="00FC3D3C"/>
    <w:rsid w:val="00FD0375"/>
    <w:rsid w:val="00FD4737"/>
    <w:rsid w:val="00FE0474"/>
    <w:rsid w:val="00FE2886"/>
    <w:rsid w:val="00FE297F"/>
    <w:rsid w:val="00FF20E7"/>
    <w:rsid w:val="00FF21B5"/>
    <w:rsid w:val="00FF6F22"/>
    <w:rsid w:val="00FF7F77"/>
    <w:rsid w:val="042B0F0C"/>
    <w:rsid w:val="052717A8"/>
    <w:rsid w:val="071621E7"/>
    <w:rsid w:val="074F1F48"/>
    <w:rsid w:val="07821700"/>
    <w:rsid w:val="08CB6266"/>
    <w:rsid w:val="0D8462F1"/>
    <w:rsid w:val="0F2E0689"/>
    <w:rsid w:val="10667A57"/>
    <w:rsid w:val="12876747"/>
    <w:rsid w:val="14826752"/>
    <w:rsid w:val="16DD60B7"/>
    <w:rsid w:val="175C146E"/>
    <w:rsid w:val="18F44E2F"/>
    <w:rsid w:val="19164053"/>
    <w:rsid w:val="1B966538"/>
    <w:rsid w:val="1C715266"/>
    <w:rsid w:val="1D5C3BB3"/>
    <w:rsid w:val="20293CF2"/>
    <w:rsid w:val="22AF11F9"/>
    <w:rsid w:val="2C593255"/>
    <w:rsid w:val="2FB6511D"/>
    <w:rsid w:val="31A71561"/>
    <w:rsid w:val="32004C6A"/>
    <w:rsid w:val="32523278"/>
    <w:rsid w:val="33E45F18"/>
    <w:rsid w:val="35165E48"/>
    <w:rsid w:val="35312CAF"/>
    <w:rsid w:val="386F3AE1"/>
    <w:rsid w:val="3C83078E"/>
    <w:rsid w:val="3FFB11BA"/>
    <w:rsid w:val="420B418F"/>
    <w:rsid w:val="42717D48"/>
    <w:rsid w:val="42771C5F"/>
    <w:rsid w:val="45592A3E"/>
    <w:rsid w:val="48A71C79"/>
    <w:rsid w:val="49AC2FF0"/>
    <w:rsid w:val="4A715DC5"/>
    <w:rsid w:val="4EA36C51"/>
    <w:rsid w:val="516136C7"/>
    <w:rsid w:val="518D2128"/>
    <w:rsid w:val="52D04153"/>
    <w:rsid w:val="55225941"/>
    <w:rsid w:val="56037F68"/>
    <w:rsid w:val="5AB00E6D"/>
    <w:rsid w:val="5AFE199C"/>
    <w:rsid w:val="5BD40F1E"/>
    <w:rsid w:val="67295D42"/>
    <w:rsid w:val="6B0A5BA9"/>
    <w:rsid w:val="6B284443"/>
    <w:rsid w:val="6DCD08CC"/>
    <w:rsid w:val="70611FFE"/>
    <w:rsid w:val="75A4682B"/>
    <w:rsid w:val="764F602B"/>
    <w:rsid w:val="769B3B96"/>
    <w:rsid w:val="77446DCF"/>
    <w:rsid w:val="79002061"/>
    <w:rsid w:val="79120F06"/>
    <w:rsid w:val="7A2B3D59"/>
    <w:rsid w:val="7A7F5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rFonts w:ascii="Times New Roman" w:hAnsi="Times New Roman" w:eastAsia="宋体" w:cs="Times New Roman"/>
      <w:kern w:val="0"/>
      <w:sz w:val="18"/>
      <w:szCs w:val="18"/>
      <w:lang w:eastAsia="en-US"/>
    </w:rPr>
  </w:style>
  <w:style w:type="paragraph" w:customStyle="1" w:styleId="10">
    <w:name w:val="Body"/>
    <w:qFormat/>
    <w:uiPriority w:val="0"/>
    <w:pPr>
      <w:spacing w:line="360" w:lineRule="auto"/>
    </w:pPr>
    <w:rPr>
      <w:rFonts w:ascii="Calibri" w:hAnsi="Calibri" w:eastAsia="Calibri" w:cs="Calibri"/>
      <w:color w:val="000000"/>
      <w:kern w:val="2"/>
      <w:sz w:val="21"/>
      <w:szCs w:val="21"/>
      <w:lang w:val="zh-TW" w:eastAsia="zh-TW" w:bidi="ar-SA"/>
    </w:rPr>
  </w:style>
  <w:style w:type="character" w:customStyle="1" w:styleId="11">
    <w:name w:val="font01"/>
    <w:basedOn w:val="5"/>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204</Words>
  <Characters>1167</Characters>
  <Lines>9</Lines>
  <Paragraphs>2</Paragraphs>
  <TotalTime>21</TotalTime>
  <ScaleCrop>false</ScaleCrop>
  <LinksUpToDate>false</LinksUpToDate>
  <CharactersWithSpaces>1369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2024-04-26T07:09:00Z</dcterms:created>
  <dc:creator>黄玉兰</dc:creator>
  <cp:lastModifiedBy>匿名用户</cp:lastModifiedBy>
  <cp:lastPrinted>2024-04-29T02:43:00Z</cp:lastPrinted>
  <dcterms:modified xsi:type="dcterms:W3CDTF">2025-07-22T08:00:35Z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F2C38595A59049E4B1152FD16523AF7D</vt:lpwstr>
  </property>
</Properties>
</file>