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3904B" w14:textId="77777777" w:rsidR="008E54FD" w:rsidRDefault="008E54FD" w:rsidP="008E54FD">
      <w:pPr>
        <w:keepNext/>
        <w:keepLines/>
        <w:adjustRightInd w:val="0"/>
        <w:snapToGrid w:val="0"/>
        <w:spacing w:line="560" w:lineRule="exact"/>
        <w:rPr>
          <w:rFonts w:ascii="黑体" w:eastAsia="黑体" w:hAnsi="黑体"/>
          <w:sz w:val="28"/>
          <w:szCs w:val="24"/>
        </w:rPr>
      </w:pPr>
      <w:r>
        <w:rPr>
          <w:rFonts w:ascii="黑体" w:eastAsia="黑体" w:hAnsi="黑体" w:hint="eastAsia"/>
          <w:sz w:val="28"/>
          <w:szCs w:val="24"/>
        </w:rPr>
        <w:t>附件</w:t>
      </w:r>
      <w:r>
        <w:rPr>
          <w:rFonts w:ascii="黑体" w:eastAsia="黑体" w:hAnsi="黑体"/>
          <w:sz w:val="28"/>
          <w:szCs w:val="24"/>
        </w:rPr>
        <w:t>3</w:t>
      </w:r>
    </w:p>
    <w:p w14:paraId="5AF36031" w14:textId="77777777" w:rsidR="008E54FD" w:rsidRDefault="008E54FD" w:rsidP="008E54FD">
      <w:pPr>
        <w:pStyle w:val="PwCNormal"/>
        <w:widowControl w:val="0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报价一览表</w:t>
      </w:r>
    </w:p>
    <w:p w14:paraId="45BE1490" w14:textId="77777777" w:rsidR="008E54FD" w:rsidRDefault="008E54FD" w:rsidP="008E54FD">
      <w:pPr>
        <w:pStyle w:val="PwCNormal"/>
        <w:widowControl w:val="0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（适用资产评估公司）</w:t>
      </w:r>
    </w:p>
    <w:p w14:paraId="41D3F4A5" w14:textId="5BCD7F23" w:rsidR="007E354D" w:rsidRDefault="008E54FD" w:rsidP="008E54FD">
      <w:pPr>
        <w:spacing w:line="520" w:lineRule="exact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项目名称：</w:t>
      </w:r>
      <w:r w:rsidR="007E354D">
        <w:rPr>
          <w:rFonts w:hint="eastAsia"/>
          <w:sz w:val="28"/>
          <w:szCs w:val="24"/>
        </w:rPr>
        <w:t>抚州</w:t>
      </w:r>
      <w:r>
        <w:rPr>
          <w:rFonts w:hint="eastAsia"/>
          <w:sz w:val="28"/>
          <w:szCs w:val="24"/>
        </w:rPr>
        <w:t>农商银行</w:t>
      </w:r>
      <w:r w:rsidR="002027A6">
        <w:rPr>
          <w:rFonts w:hint="eastAsia"/>
          <w:sz w:val="28"/>
          <w:szCs w:val="24"/>
        </w:rPr>
        <w:t>不</w:t>
      </w:r>
      <w:r w:rsidR="002027A6">
        <w:rPr>
          <w:sz w:val="28"/>
          <w:szCs w:val="24"/>
        </w:rPr>
        <w:t>良资产转让债权价值评估</w:t>
      </w:r>
    </w:p>
    <w:p w14:paraId="2827AD35" w14:textId="7B5D4291" w:rsidR="008E54FD" w:rsidRDefault="008E54FD" w:rsidP="008E54FD">
      <w:pPr>
        <w:spacing w:line="520" w:lineRule="exact"/>
        <w:rPr>
          <w:rFonts w:eastAsia="Times New Roman"/>
          <w:sz w:val="28"/>
          <w:szCs w:val="24"/>
        </w:rPr>
      </w:pPr>
      <w:r>
        <w:rPr>
          <w:rFonts w:hint="eastAsia"/>
          <w:sz w:val="28"/>
          <w:szCs w:val="24"/>
        </w:rPr>
        <w:t>金额单位：元</w:t>
      </w:r>
    </w:p>
    <w:tbl>
      <w:tblPr>
        <w:tblW w:w="54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1684"/>
        <w:gridCol w:w="829"/>
        <w:gridCol w:w="1936"/>
        <w:gridCol w:w="1094"/>
        <w:gridCol w:w="2084"/>
        <w:gridCol w:w="1298"/>
      </w:tblGrid>
      <w:tr w:rsidR="008E54FD" w14:paraId="4D80AB0C" w14:textId="77777777" w:rsidTr="00797381">
        <w:trPr>
          <w:cantSplit/>
          <w:trHeight w:val="514"/>
          <w:jc w:val="center"/>
        </w:trPr>
        <w:tc>
          <w:tcPr>
            <w:tcW w:w="242" w:type="pct"/>
            <w:vAlign w:val="center"/>
          </w:tcPr>
          <w:p w14:paraId="152C9C61" w14:textId="77777777" w:rsidR="008E54FD" w:rsidRDefault="008E54FD" w:rsidP="00797381">
            <w:pPr>
              <w:spacing w:line="360" w:lineRule="exact"/>
              <w:jc w:val="center"/>
              <w:rPr>
                <w:rFonts w:ascii="宋体" w:eastAsia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898" w:type="pct"/>
            <w:vAlign w:val="center"/>
          </w:tcPr>
          <w:p w14:paraId="6B77EBB5" w14:textId="77777777" w:rsidR="008E54FD" w:rsidRDefault="008E54FD" w:rsidP="00797381">
            <w:pPr>
              <w:spacing w:line="360" w:lineRule="exact"/>
              <w:jc w:val="center"/>
              <w:rPr>
                <w:rFonts w:ascii="宋体" w:eastAsia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服务名称</w:t>
            </w:r>
          </w:p>
        </w:tc>
        <w:tc>
          <w:tcPr>
            <w:tcW w:w="442" w:type="pct"/>
            <w:vAlign w:val="center"/>
          </w:tcPr>
          <w:p w14:paraId="729A80FA" w14:textId="77777777" w:rsidR="008E54FD" w:rsidRDefault="008E54FD" w:rsidP="00797381">
            <w:pPr>
              <w:spacing w:line="360" w:lineRule="exact"/>
              <w:jc w:val="center"/>
              <w:rPr>
                <w:rFonts w:ascii="宋体" w:eastAsia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计量</w:t>
            </w:r>
          </w:p>
          <w:p w14:paraId="2C52EB56" w14:textId="77777777" w:rsidR="008E54FD" w:rsidRDefault="008E54FD" w:rsidP="00797381">
            <w:pPr>
              <w:spacing w:line="360" w:lineRule="exact"/>
              <w:jc w:val="center"/>
              <w:rPr>
                <w:rFonts w:ascii="宋体" w:eastAsia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1032" w:type="pct"/>
            <w:vAlign w:val="center"/>
          </w:tcPr>
          <w:p w14:paraId="041B071B" w14:textId="77777777" w:rsidR="008E54FD" w:rsidRDefault="008E54FD" w:rsidP="00797381">
            <w:pPr>
              <w:spacing w:line="360" w:lineRule="exact"/>
              <w:jc w:val="center"/>
              <w:rPr>
                <w:rFonts w:ascii="宋体" w:eastAsia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单价</w:t>
            </w:r>
          </w:p>
          <w:p w14:paraId="1BEC4784" w14:textId="77777777" w:rsidR="008E54FD" w:rsidRDefault="008E54FD" w:rsidP="00797381">
            <w:pPr>
              <w:spacing w:line="360" w:lineRule="exact"/>
              <w:jc w:val="center"/>
              <w:rPr>
                <w:rFonts w:ascii="宋体" w:eastAsia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（含税）</w:t>
            </w:r>
          </w:p>
        </w:tc>
        <w:tc>
          <w:tcPr>
            <w:tcW w:w="583" w:type="pct"/>
            <w:vAlign w:val="center"/>
          </w:tcPr>
          <w:p w14:paraId="528048FA" w14:textId="77777777" w:rsidR="008E54FD" w:rsidRDefault="008E54FD" w:rsidP="00797381">
            <w:pPr>
              <w:spacing w:line="360" w:lineRule="exact"/>
              <w:jc w:val="center"/>
              <w:rPr>
                <w:rFonts w:ascii="宋体" w:eastAsia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金额</w:t>
            </w:r>
          </w:p>
          <w:p w14:paraId="1E7C773D" w14:textId="77777777" w:rsidR="008E54FD" w:rsidRDefault="008E54FD" w:rsidP="00797381">
            <w:pPr>
              <w:spacing w:line="360" w:lineRule="exact"/>
              <w:jc w:val="center"/>
              <w:rPr>
                <w:rFonts w:ascii="宋体" w:eastAsia="Times New Roman"/>
                <w:spacing w:val="-4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（含税）</w:t>
            </w:r>
          </w:p>
        </w:tc>
        <w:tc>
          <w:tcPr>
            <w:tcW w:w="1111" w:type="pct"/>
            <w:vAlign w:val="center"/>
          </w:tcPr>
          <w:p w14:paraId="27F71F86" w14:textId="77777777" w:rsidR="008E54FD" w:rsidRDefault="008E54FD" w:rsidP="00797381">
            <w:pPr>
              <w:spacing w:line="360" w:lineRule="exact"/>
              <w:jc w:val="center"/>
              <w:rPr>
                <w:rFonts w:ascii="宋体" w:eastAsia="Times New Roman"/>
                <w:sz w:val="24"/>
                <w:szCs w:val="24"/>
              </w:rPr>
            </w:pPr>
            <w:r>
              <w:rPr>
                <w:rFonts w:ascii="宋体" w:hAnsi="宋体" w:hint="eastAsia"/>
                <w:spacing w:val="-4"/>
                <w:sz w:val="24"/>
                <w:szCs w:val="24"/>
              </w:rPr>
              <w:t>服务时间</w:t>
            </w:r>
          </w:p>
        </w:tc>
        <w:tc>
          <w:tcPr>
            <w:tcW w:w="692" w:type="pct"/>
            <w:vAlign w:val="center"/>
          </w:tcPr>
          <w:p w14:paraId="4E8132A4" w14:textId="77777777" w:rsidR="008E54FD" w:rsidRDefault="008E54FD" w:rsidP="00797381">
            <w:pPr>
              <w:spacing w:line="360" w:lineRule="exact"/>
              <w:jc w:val="center"/>
              <w:rPr>
                <w:rFonts w:ascii="宋体" w:eastAsia="Times New Roman"/>
                <w:sz w:val="24"/>
                <w:szCs w:val="24"/>
              </w:rPr>
            </w:pPr>
            <w:r>
              <w:rPr>
                <w:rFonts w:ascii="宋体" w:hAnsi="宋体" w:hint="eastAsia"/>
                <w:spacing w:val="-4"/>
                <w:sz w:val="24"/>
                <w:szCs w:val="24"/>
              </w:rPr>
              <w:t>服务地点</w:t>
            </w:r>
          </w:p>
        </w:tc>
      </w:tr>
      <w:tr w:rsidR="008E54FD" w14:paraId="69015C8C" w14:textId="77777777" w:rsidTr="00797381">
        <w:trPr>
          <w:cantSplit/>
          <w:trHeight w:val="569"/>
          <w:jc w:val="center"/>
        </w:trPr>
        <w:tc>
          <w:tcPr>
            <w:tcW w:w="242" w:type="pct"/>
            <w:vAlign w:val="center"/>
          </w:tcPr>
          <w:p w14:paraId="5C2ED3A8" w14:textId="77777777" w:rsidR="008E54FD" w:rsidRDefault="008E54FD" w:rsidP="00797381">
            <w:pPr>
              <w:spacing w:line="360" w:lineRule="exact"/>
              <w:jc w:val="center"/>
              <w:rPr>
                <w:rFonts w:ascii="宋体" w:eastAsia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898" w:type="pct"/>
            <w:vAlign w:val="center"/>
          </w:tcPr>
          <w:p w14:paraId="0146DDD2" w14:textId="75933D93" w:rsidR="008E54FD" w:rsidRDefault="008E54FD" w:rsidP="00797381">
            <w:pPr>
              <w:spacing w:line="360" w:lineRule="exact"/>
              <w:jc w:val="center"/>
              <w:rPr>
                <w:rFonts w:ascii="宋体" w:eastAsia="Times New Roman"/>
                <w:sz w:val="24"/>
                <w:szCs w:val="24"/>
              </w:rPr>
            </w:pPr>
          </w:p>
        </w:tc>
        <w:tc>
          <w:tcPr>
            <w:tcW w:w="442" w:type="pct"/>
            <w:vAlign w:val="center"/>
          </w:tcPr>
          <w:p w14:paraId="16B864BC" w14:textId="77777777" w:rsidR="008E54FD" w:rsidRDefault="008E54FD" w:rsidP="00797381">
            <w:pPr>
              <w:spacing w:line="360" w:lineRule="exact"/>
              <w:jc w:val="center"/>
              <w:rPr>
                <w:rFonts w:ascii="宋体" w:eastAsia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单户</w:t>
            </w:r>
          </w:p>
        </w:tc>
        <w:tc>
          <w:tcPr>
            <w:tcW w:w="1032" w:type="pct"/>
            <w:vAlign w:val="center"/>
          </w:tcPr>
          <w:p w14:paraId="3AFD308D" w14:textId="77777777" w:rsidR="008E54FD" w:rsidRDefault="008E54FD" w:rsidP="00797381">
            <w:pPr>
              <w:spacing w:line="360" w:lineRule="exact"/>
              <w:jc w:val="center"/>
              <w:rPr>
                <w:rFonts w:ascii="宋体" w:eastAsia="Times New Roman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14:paraId="1E3C75AB" w14:textId="77777777" w:rsidR="008E54FD" w:rsidRDefault="008E54FD" w:rsidP="00797381">
            <w:pPr>
              <w:spacing w:line="360" w:lineRule="exact"/>
              <w:jc w:val="center"/>
              <w:rPr>
                <w:rFonts w:ascii="宋体" w:eastAsia="Times New Roman"/>
                <w:sz w:val="24"/>
                <w:szCs w:val="24"/>
              </w:rPr>
            </w:pPr>
          </w:p>
        </w:tc>
        <w:tc>
          <w:tcPr>
            <w:tcW w:w="1111" w:type="pct"/>
            <w:vAlign w:val="center"/>
          </w:tcPr>
          <w:p w14:paraId="107AD43A" w14:textId="77777777" w:rsidR="008E54FD" w:rsidRDefault="008E54FD" w:rsidP="00797381">
            <w:pPr>
              <w:spacing w:line="360" w:lineRule="exact"/>
              <w:jc w:val="center"/>
              <w:rPr>
                <w:rFonts w:ascii="宋体" w:eastAsia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签订委托协议之日至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  <w:szCs w:val="24"/>
              </w:rPr>
              <w:t>完成该批次不良资产评估之日止</w:t>
            </w:r>
          </w:p>
        </w:tc>
        <w:tc>
          <w:tcPr>
            <w:tcW w:w="692" w:type="pct"/>
            <w:vAlign w:val="center"/>
          </w:tcPr>
          <w:p w14:paraId="532C63E6" w14:textId="1915BFC2" w:rsidR="008E54FD" w:rsidRDefault="007E354D" w:rsidP="007E354D">
            <w:pPr>
              <w:spacing w:line="360" w:lineRule="exact"/>
              <w:jc w:val="center"/>
              <w:rPr>
                <w:rFonts w:ascii="宋体" w:eastAsia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抚州</w:t>
            </w:r>
            <w:r w:rsidR="008E54FD">
              <w:rPr>
                <w:rFonts w:ascii="宋体" w:hAnsi="宋体" w:hint="eastAsia"/>
                <w:sz w:val="24"/>
                <w:szCs w:val="24"/>
              </w:rPr>
              <w:t>农商银行</w:t>
            </w:r>
            <w:r>
              <w:rPr>
                <w:rFonts w:ascii="宋体" w:hAnsi="宋体" w:hint="eastAsia"/>
                <w:sz w:val="24"/>
                <w:szCs w:val="24"/>
              </w:rPr>
              <w:t>指定区域</w:t>
            </w:r>
          </w:p>
        </w:tc>
      </w:tr>
      <w:tr w:rsidR="008E54FD" w14:paraId="16A139C4" w14:textId="77777777" w:rsidTr="00797381">
        <w:trPr>
          <w:cantSplit/>
          <w:trHeight w:val="550"/>
          <w:jc w:val="center"/>
        </w:trPr>
        <w:tc>
          <w:tcPr>
            <w:tcW w:w="5000" w:type="pct"/>
            <w:gridSpan w:val="7"/>
            <w:vAlign w:val="center"/>
          </w:tcPr>
          <w:p w14:paraId="74485992" w14:textId="77777777" w:rsidR="008E54FD" w:rsidRDefault="008E54FD" w:rsidP="00797381">
            <w:pPr>
              <w:spacing w:line="360" w:lineRule="exact"/>
              <w:jc w:val="center"/>
              <w:rPr>
                <w:rFonts w:ascii="宋体" w:eastAsia="Times New Roman"/>
                <w:spacing w:val="-4"/>
                <w:sz w:val="24"/>
                <w:szCs w:val="24"/>
              </w:rPr>
            </w:pPr>
            <w:r>
              <w:rPr>
                <w:rFonts w:ascii="宋体" w:hAnsi="宋体" w:hint="eastAsia"/>
                <w:spacing w:val="-4"/>
                <w:sz w:val="24"/>
                <w:szCs w:val="24"/>
              </w:rPr>
              <w:t>单户报价（人民币大写）：</w:t>
            </w:r>
            <w:r>
              <w:rPr>
                <w:rFonts w:ascii="宋体" w:hAnsi="宋体"/>
                <w:spacing w:val="-4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hint="eastAsia"/>
                <w:spacing w:val="-4"/>
                <w:sz w:val="24"/>
                <w:szCs w:val="24"/>
              </w:rPr>
              <w:t>（小写）</w:t>
            </w:r>
            <w:r>
              <w:rPr>
                <w:spacing w:val="-4"/>
                <w:sz w:val="24"/>
                <w:szCs w:val="24"/>
              </w:rPr>
              <w:t>¥</w:t>
            </w:r>
          </w:p>
        </w:tc>
      </w:tr>
      <w:tr w:rsidR="008E54FD" w14:paraId="0CA91A29" w14:textId="77777777" w:rsidTr="00797381">
        <w:trPr>
          <w:cantSplit/>
          <w:trHeight w:val="550"/>
          <w:jc w:val="center"/>
        </w:trPr>
        <w:tc>
          <w:tcPr>
            <w:tcW w:w="5000" w:type="pct"/>
            <w:gridSpan w:val="7"/>
            <w:vAlign w:val="center"/>
          </w:tcPr>
          <w:p w14:paraId="4231D444" w14:textId="04FFBE25" w:rsidR="008E54FD" w:rsidRDefault="008E54FD" w:rsidP="002027A6">
            <w:pPr>
              <w:pStyle w:val="PwCNormal"/>
              <w:rPr>
                <w:rFonts w:ascii="黑体" w:eastAsia="黑体" w:hAnsi="黑体"/>
                <w:color w:val="FF0000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特别声明：</w:t>
            </w:r>
            <w:r>
              <w:rPr>
                <w:rFonts w:ascii="黑体" w:eastAsia="黑体" w:hAnsi="黑体"/>
                <w:sz w:val="28"/>
              </w:rPr>
              <w:t>1.</w:t>
            </w:r>
            <w:r w:rsidR="002027A6">
              <w:rPr>
                <w:rFonts w:ascii="黑体" w:eastAsia="黑体" w:hAnsi="黑体" w:hint="eastAsia"/>
                <w:sz w:val="28"/>
              </w:rPr>
              <w:t>需</w:t>
            </w:r>
            <w:r w:rsidR="002027A6">
              <w:rPr>
                <w:rFonts w:ascii="黑体" w:eastAsia="黑体" w:hAnsi="黑体"/>
                <w:sz w:val="28"/>
              </w:rPr>
              <w:t>评估债权</w:t>
            </w:r>
            <w:r>
              <w:rPr>
                <w:rFonts w:ascii="黑体" w:eastAsia="黑体" w:hAnsi="黑体" w:hint="eastAsia"/>
                <w:sz w:val="28"/>
              </w:rPr>
              <w:t>客户数量以</w:t>
            </w:r>
            <w:r w:rsidR="00EE509D">
              <w:rPr>
                <w:rFonts w:ascii="黑体" w:eastAsia="黑体" w:hAnsi="黑体" w:hint="eastAsia"/>
                <w:sz w:val="28"/>
              </w:rPr>
              <w:t>抚州</w:t>
            </w:r>
            <w:r>
              <w:rPr>
                <w:rFonts w:ascii="黑体" w:eastAsia="黑体" w:hAnsi="黑体" w:hint="eastAsia"/>
                <w:sz w:val="28"/>
              </w:rPr>
              <w:t>农商银行最终确定的实际客户数为准；</w:t>
            </w:r>
            <w:r>
              <w:rPr>
                <w:rFonts w:ascii="黑体" w:eastAsia="黑体" w:hAnsi="黑体"/>
                <w:sz w:val="28"/>
              </w:rPr>
              <w:t>2.</w:t>
            </w:r>
            <w:r>
              <w:rPr>
                <w:rFonts w:ascii="黑体" w:eastAsia="黑体" w:hAnsi="黑体" w:hint="eastAsia"/>
                <w:sz w:val="28"/>
              </w:rPr>
              <w:t>以上单户包含一户多笔情形。</w:t>
            </w:r>
          </w:p>
        </w:tc>
      </w:tr>
    </w:tbl>
    <w:p w14:paraId="4E5D481F" w14:textId="77777777" w:rsidR="008E54FD" w:rsidRDefault="008E54FD" w:rsidP="008E54FD">
      <w:pPr>
        <w:rPr>
          <w:rFonts w:eastAsia="Times New Roman"/>
          <w:sz w:val="28"/>
          <w:szCs w:val="24"/>
        </w:rPr>
      </w:pPr>
    </w:p>
    <w:p w14:paraId="6BA4B410" w14:textId="77777777" w:rsidR="008E54FD" w:rsidRDefault="008E54FD" w:rsidP="008E54FD">
      <w:pPr>
        <w:rPr>
          <w:rFonts w:eastAsia="Times New Roman"/>
          <w:sz w:val="28"/>
          <w:szCs w:val="24"/>
        </w:rPr>
      </w:pPr>
    </w:p>
    <w:p w14:paraId="289CABBF" w14:textId="77777777" w:rsidR="008E54FD" w:rsidRDefault="008E54FD" w:rsidP="008E54FD">
      <w:pPr>
        <w:rPr>
          <w:rFonts w:eastAsia="Times New Roman"/>
          <w:sz w:val="28"/>
          <w:szCs w:val="24"/>
        </w:rPr>
      </w:pPr>
      <w:r>
        <w:rPr>
          <w:sz w:val="28"/>
          <w:szCs w:val="24"/>
        </w:rPr>
        <w:t xml:space="preserve"> </w:t>
      </w:r>
      <w:r>
        <w:rPr>
          <w:rFonts w:hint="eastAsia"/>
          <w:sz w:val="28"/>
          <w:szCs w:val="24"/>
        </w:rPr>
        <w:t>报价供应商全称：（盖章）</w:t>
      </w:r>
      <w:r>
        <w:rPr>
          <w:sz w:val="28"/>
          <w:szCs w:val="24"/>
        </w:rPr>
        <w:t xml:space="preserve">                                   </w:t>
      </w:r>
    </w:p>
    <w:p w14:paraId="1D758173" w14:textId="77777777" w:rsidR="008E54FD" w:rsidRDefault="008E54FD" w:rsidP="008E54FD">
      <w:pPr>
        <w:rPr>
          <w:rFonts w:eastAsia="Times New Roman"/>
          <w:sz w:val="28"/>
          <w:szCs w:val="24"/>
        </w:rPr>
      </w:pPr>
      <w:r>
        <w:rPr>
          <w:rFonts w:hint="eastAsia"/>
          <w:sz w:val="28"/>
          <w:szCs w:val="24"/>
        </w:rPr>
        <w:t>法定代表人或授权代表：（签字）</w:t>
      </w:r>
    </w:p>
    <w:p w14:paraId="3FF3E20F" w14:textId="77777777" w:rsidR="008E54FD" w:rsidRDefault="008E54FD" w:rsidP="008E54FD">
      <w:pPr>
        <w:spacing w:line="520" w:lineRule="exact"/>
        <w:ind w:firstLine="641"/>
        <w:jc w:val="center"/>
        <w:rPr>
          <w:rFonts w:eastAsia="Times New Roman"/>
          <w:sz w:val="28"/>
          <w:szCs w:val="24"/>
        </w:rPr>
      </w:pPr>
      <w:r>
        <w:rPr>
          <w:sz w:val="28"/>
          <w:szCs w:val="24"/>
        </w:rPr>
        <w:t xml:space="preserve">                                            </w:t>
      </w:r>
      <w:r>
        <w:rPr>
          <w:rFonts w:hint="eastAsia"/>
          <w:sz w:val="28"/>
          <w:szCs w:val="24"/>
        </w:rPr>
        <w:t>年</w:t>
      </w:r>
      <w:r>
        <w:rPr>
          <w:sz w:val="28"/>
          <w:szCs w:val="24"/>
        </w:rPr>
        <w:t xml:space="preserve">   </w:t>
      </w:r>
      <w:r>
        <w:rPr>
          <w:rFonts w:hint="eastAsia"/>
          <w:sz w:val="28"/>
          <w:szCs w:val="24"/>
        </w:rPr>
        <w:t>月</w:t>
      </w:r>
      <w:r>
        <w:rPr>
          <w:sz w:val="28"/>
          <w:szCs w:val="24"/>
        </w:rPr>
        <w:t xml:space="preserve">   </w:t>
      </w:r>
      <w:r>
        <w:rPr>
          <w:rFonts w:hint="eastAsia"/>
          <w:sz w:val="28"/>
          <w:szCs w:val="24"/>
        </w:rPr>
        <w:t>日</w:t>
      </w:r>
    </w:p>
    <w:p w14:paraId="0A3425A8" w14:textId="77777777" w:rsidR="008E54FD" w:rsidRDefault="008E54FD" w:rsidP="008E54FD">
      <w:pPr>
        <w:jc w:val="left"/>
        <w:rPr>
          <w:rFonts w:eastAsia="Times New Roman"/>
          <w:szCs w:val="24"/>
        </w:rPr>
      </w:pPr>
    </w:p>
    <w:p w14:paraId="0D954718" w14:textId="77777777" w:rsidR="008E54FD" w:rsidRDefault="008E54FD" w:rsidP="008E54FD">
      <w:pPr>
        <w:pStyle w:val="PwCNormal"/>
        <w:rPr>
          <w:rFonts w:eastAsia="Times New Roman"/>
        </w:rPr>
      </w:pPr>
    </w:p>
    <w:p w14:paraId="32D52BE0" w14:textId="77777777" w:rsidR="008E54FD" w:rsidRDefault="008E54FD" w:rsidP="008E54FD">
      <w:pPr>
        <w:pStyle w:val="PwCNormal"/>
        <w:rPr>
          <w:rFonts w:eastAsia="Times New Roman"/>
        </w:rPr>
      </w:pPr>
    </w:p>
    <w:p w14:paraId="37010725" w14:textId="77777777" w:rsidR="008E54FD" w:rsidRDefault="008E54FD" w:rsidP="008E54FD">
      <w:pPr>
        <w:pStyle w:val="PwCNormal"/>
        <w:rPr>
          <w:rFonts w:eastAsiaTheme="minorEastAsia"/>
        </w:rPr>
      </w:pPr>
    </w:p>
    <w:p w14:paraId="726A43A0" w14:textId="77777777" w:rsidR="007E354D" w:rsidRPr="007E354D" w:rsidRDefault="007E354D" w:rsidP="008E54FD">
      <w:pPr>
        <w:pStyle w:val="PwCNormal"/>
        <w:rPr>
          <w:rFonts w:eastAsiaTheme="minorEastAsia"/>
        </w:rPr>
      </w:pPr>
    </w:p>
    <w:p w14:paraId="3D7BD6F5" w14:textId="77777777" w:rsidR="008E54FD" w:rsidRDefault="008E54FD" w:rsidP="008E54FD">
      <w:pPr>
        <w:pStyle w:val="PwCNormal"/>
        <w:rPr>
          <w:rFonts w:eastAsia="Times New Roman"/>
        </w:rPr>
      </w:pPr>
    </w:p>
    <w:p w14:paraId="52F2378A" w14:textId="77777777" w:rsidR="008E54FD" w:rsidRDefault="008E54FD" w:rsidP="008E54FD">
      <w:pPr>
        <w:pStyle w:val="PwCNormal"/>
        <w:rPr>
          <w:rFonts w:eastAsia="Times New Roman"/>
        </w:rPr>
      </w:pPr>
    </w:p>
    <w:sectPr w:rsidR="008E54FD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B6BDC9" w14:textId="77777777" w:rsidR="00A4236A" w:rsidRDefault="00A4236A" w:rsidP="00E06E42">
      <w:r>
        <w:separator/>
      </w:r>
    </w:p>
  </w:endnote>
  <w:endnote w:type="continuationSeparator" w:id="0">
    <w:p w14:paraId="276E6F1D" w14:textId="77777777" w:rsidR="00A4236A" w:rsidRDefault="00A4236A" w:rsidP="00E06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763393" w14:textId="77777777" w:rsidR="00A4236A" w:rsidRDefault="00A4236A" w:rsidP="00E06E42">
      <w:r>
        <w:separator/>
      </w:r>
    </w:p>
  </w:footnote>
  <w:footnote w:type="continuationSeparator" w:id="0">
    <w:p w14:paraId="0FC49FDC" w14:textId="77777777" w:rsidR="00A4236A" w:rsidRDefault="00A4236A" w:rsidP="00E06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3B5"/>
    <w:rsid w:val="00005747"/>
    <w:rsid w:val="001041D9"/>
    <w:rsid w:val="001261F3"/>
    <w:rsid w:val="001F7DB1"/>
    <w:rsid w:val="002027A6"/>
    <w:rsid w:val="004009AB"/>
    <w:rsid w:val="00437255"/>
    <w:rsid w:val="004412BC"/>
    <w:rsid w:val="004C5AC3"/>
    <w:rsid w:val="005B54B2"/>
    <w:rsid w:val="006023B5"/>
    <w:rsid w:val="00661089"/>
    <w:rsid w:val="0069655F"/>
    <w:rsid w:val="006E2D38"/>
    <w:rsid w:val="006F4087"/>
    <w:rsid w:val="007E354D"/>
    <w:rsid w:val="007F4C34"/>
    <w:rsid w:val="008D4170"/>
    <w:rsid w:val="008E54FD"/>
    <w:rsid w:val="009D1FCE"/>
    <w:rsid w:val="00A25DBD"/>
    <w:rsid w:val="00A4236A"/>
    <w:rsid w:val="00A54B86"/>
    <w:rsid w:val="00A55A17"/>
    <w:rsid w:val="00CA530F"/>
    <w:rsid w:val="00D4308D"/>
    <w:rsid w:val="00DD12D0"/>
    <w:rsid w:val="00E06E42"/>
    <w:rsid w:val="00EE509D"/>
    <w:rsid w:val="00F95377"/>
    <w:rsid w:val="00FD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132F9F"/>
  <w15:chartTrackingRefBased/>
  <w15:docId w15:val="{8F8DB2BE-ECF6-41C7-9689-64AC57A7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4FD"/>
    <w:pPr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6E4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6E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6E42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6E42"/>
    <w:rPr>
      <w:sz w:val="18"/>
      <w:szCs w:val="18"/>
    </w:rPr>
  </w:style>
  <w:style w:type="paragraph" w:customStyle="1" w:styleId="PwCNormal">
    <w:name w:val="PwC Normal"/>
    <w:basedOn w:val="a"/>
    <w:uiPriority w:val="99"/>
    <w:unhideWhenUsed/>
    <w:qFormat/>
    <w:rsid w:val="008E54FD"/>
    <w:pPr>
      <w:spacing w:before="180" w:after="180" w:line="240" w:lineRule="atLeas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刘乐飞</cp:lastModifiedBy>
  <cp:revision>6</cp:revision>
  <dcterms:created xsi:type="dcterms:W3CDTF">2024-11-19T02:52:00Z</dcterms:created>
  <dcterms:modified xsi:type="dcterms:W3CDTF">2025-07-11T02:41:00Z</dcterms:modified>
</cp:coreProperties>
</file>