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江西大余</w:t>
      </w:r>
      <w:r>
        <w:rPr>
          <w:rFonts w:hint="eastAsia" w:ascii="黑体" w:hAnsi="黑体" w:eastAsia="黑体" w:cs="黑体"/>
          <w:sz w:val="32"/>
          <w:szCs w:val="32"/>
        </w:rPr>
        <w:t>农村商业银行股份有限公司2024年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</w:t>
      </w:r>
      <w:r>
        <w:rPr>
          <w:rFonts w:hint="eastAsia" w:ascii="黑体" w:hAnsi="黑体" w:eastAsia="黑体" w:cs="黑体"/>
          <w:sz w:val="32"/>
          <w:szCs w:val="32"/>
        </w:rPr>
        <w:t>半年度资本管理信息披露报告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根据国家金融监督管理总局发布的《商业银行资本管理办法》(以下简称“办法”)附件23《第三档商业银行资本监管规定》的要求，向投资者和社会公众披露本行资本相关信息。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一、制度要求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国家金融监督管理总局对本行各级资本充足率最低要求如下：（1）核心一级资本充足率不得低于7.5%。（2）资本充足率不得低于8.5%。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二、资产充足率及风险资产情况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商业银行资本管理办法》规定，本行机构划分标准适用于第三档商业银行，其中信用风险采用权重法计量，操作风险采用基本指标法计量。在计量资本充足率时，采用按照第三档商业银行统一的计量方法进行资本计量。截至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日，核心一级资本净额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56609.19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万元，资本净额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79904.41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万元，风险加权资产</w:t>
      </w:r>
      <w:r>
        <w:rPr>
          <w:rFonts w:hint="eastAsia" w:ascii="仿宋_GB2312" w:hAnsi="仿宋" w:eastAsia="仿宋_GB2312" w:cs="Arial Unicode MS"/>
          <w:color w:val="000000"/>
          <w:sz w:val="28"/>
          <w:szCs w:val="28"/>
          <w:lang w:val="en-US" w:eastAsia="zh-CN"/>
        </w:rPr>
        <w:t>572722.10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万元，核心一级资本充足率为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10.46</w:t>
      </w:r>
      <w:r>
        <w:rPr>
          <w:rFonts w:hint="eastAsia" w:ascii="仿宋_GB2312" w:hAnsi="仿宋_GB2312" w:eastAsia="仿宋_GB2312" w:cs="仿宋_GB2312"/>
          <w:sz w:val="32"/>
          <w:szCs w:val="32"/>
        </w:rPr>
        <w:t>%，资本充足率为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14.76</w:t>
      </w:r>
      <w:r>
        <w:rPr>
          <w:rFonts w:hint="eastAsia" w:ascii="仿宋_GB2312" w:hAnsi="仿宋_GB2312" w:eastAsia="仿宋_GB2312" w:cs="仿宋_GB2312"/>
          <w:sz w:val="32"/>
          <w:szCs w:val="32"/>
        </w:rPr>
        <w:t>%；调整后表内外资产余额</w:t>
      </w:r>
      <w:r>
        <w:rPr>
          <w:rFonts w:hint="eastAsia" w:ascii="仿宋_GB2312" w:hAnsi="仿宋" w:eastAsia="仿宋_GB2312" w:cs="Arial Unicode MS"/>
          <w:color w:val="000000"/>
          <w:sz w:val="28"/>
          <w:szCs w:val="28"/>
        </w:rPr>
        <w:t>917162.35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万元，杠杆率为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6.17</w:t>
      </w:r>
      <w:r>
        <w:rPr>
          <w:rFonts w:hint="eastAsia" w:ascii="仿宋_GB2312" w:hAnsi="仿宋_GB2312" w:eastAsia="仿宋_GB2312" w:cs="仿宋_GB2312"/>
          <w:sz w:val="32"/>
          <w:szCs w:val="32"/>
        </w:rPr>
        <w:t>%。核心一级资本充足率、资本充足率和杠杆率均高于监管部门要求的法定值。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1" w:firstLineChars="1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三、关键审慎监管指标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及资本构成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根据办法规定，本次需披露关键审慎监管指标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具体如下：</w:t>
      </w:r>
    </w:p>
    <w:p>
      <w:pPr>
        <w:jc w:val="center"/>
        <w:rPr>
          <w:rFonts w:hint="eastAsia" w:ascii="楷体_GB2312" w:hAnsi="仿宋_GB2312" w:eastAsia="楷体_GB2312" w:cs="仿宋_GB2312"/>
          <w:b/>
          <w:sz w:val="28"/>
          <w:szCs w:val="28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28"/>
          <w:szCs w:val="28"/>
          <w:lang w:val="en-US" w:eastAsia="zh-CN"/>
        </w:rPr>
        <w:t xml:space="preserve">附表1  </w:t>
      </w:r>
      <w:r>
        <w:rPr>
          <w:rFonts w:ascii="楷体_GB2312" w:hAnsi="仿宋_GB2312" w:eastAsia="楷体_GB2312" w:cs="仿宋_GB2312"/>
          <w:b/>
          <w:sz w:val="28"/>
          <w:szCs w:val="28"/>
        </w:rPr>
        <w:t>关键审慎监管指标</w:t>
      </w:r>
      <w:r>
        <w:rPr>
          <w:rFonts w:hint="eastAsia" w:ascii="楷体_GB2312" w:hAnsi="仿宋_GB2312" w:eastAsia="楷体_GB2312" w:cs="仿宋_GB2312"/>
          <w:b/>
          <w:sz w:val="28"/>
          <w:szCs w:val="28"/>
          <w:lang w:val="en-US" w:eastAsia="zh-CN"/>
        </w:rPr>
        <w:t xml:space="preserve">       </w:t>
      </w:r>
    </w:p>
    <w:p>
      <w:pPr>
        <w:jc w:val="center"/>
        <w:rPr>
          <w:rFonts w:hint="default" w:ascii="楷体_GB2312" w:hAnsi="仿宋_GB2312" w:eastAsia="楷体_GB2312" w:cs="仿宋_GB2312"/>
          <w:b/>
          <w:sz w:val="28"/>
          <w:szCs w:val="28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28"/>
          <w:szCs w:val="28"/>
          <w:lang w:val="en-US" w:eastAsia="zh-CN"/>
        </w:rPr>
        <w:t xml:space="preserve">                                  单位：人民币万元  %</w:t>
      </w:r>
    </w:p>
    <w:tbl>
      <w:tblPr>
        <w:tblStyle w:val="3"/>
        <w:tblW w:w="90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19"/>
        <w:gridCol w:w="1635"/>
        <w:gridCol w:w="18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报告期末（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T</w:t>
            </w: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上一期末（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T-1</w:t>
            </w: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46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color w:val="000000"/>
                <w:sz w:val="28"/>
                <w:szCs w:val="28"/>
              </w:rPr>
              <w:t>可用资本（数额）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核心一级资本净额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56609.19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51550.75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资本净额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79904.41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70522.46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6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color w:val="000000"/>
                <w:sz w:val="28"/>
                <w:szCs w:val="28"/>
              </w:rPr>
              <w:t>风险加权资产（数额）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信用风险加权资产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491876.83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449015.88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操作风险加权资产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49513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49513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风险加权资产合计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541389.83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498528.88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46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color w:val="000000"/>
                <w:sz w:val="28"/>
                <w:szCs w:val="28"/>
              </w:rPr>
              <w:t>资本充足率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7" w:type="dxa"/>
            <w:tcBorders>
              <w:left w:val="nil"/>
            </w:tcBorders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核心一级资本充足率（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10.46</w:t>
            </w:r>
          </w:p>
        </w:tc>
        <w:tc>
          <w:tcPr>
            <w:tcW w:w="18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10.34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资本充足率（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14.76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14.15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046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color w:val="000000"/>
                <w:sz w:val="28"/>
                <w:szCs w:val="28"/>
              </w:rPr>
              <w:t>杠杆率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调整后表内外资产余额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917162.35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835608.87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杠杆率</w:t>
            </w: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6.17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808080" w:themeColor="text1" w:themeTint="8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" w:eastAsia="仿宋_GB2312" w:cs="Arial Unicode MS"/>
                <w:color w:val="808080" w:themeColor="text1" w:themeTint="8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6.17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杠杆率a</w:t>
            </w: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6.17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6.17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6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color w:val="000000"/>
                <w:sz w:val="28"/>
                <w:szCs w:val="28"/>
              </w:rPr>
              <w:t>流动性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优质流动性资产充足率（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294.39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311.67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流动性比例（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49.01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42.34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shd w:val="clear" w:color="auto" w:fill="FFFFFF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19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流动性匹配率（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141.12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141.5</w:t>
            </w:r>
          </w:p>
        </w:tc>
      </w:tr>
    </w:tbl>
    <w:p>
      <w:pPr>
        <w:snapToGrid w:val="0"/>
        <w:spacing w:line="480" w:lineRule="exact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1DCA"/>
    <w:rsid w:val="00BC5D90"/>
    <w:rsid w:val="01BE7677"/>
    <w:rsid w:val="03F04891"/>
    <w:rsid w:val="04057631"/>
    <w:rsid w:val="04AB70AD"/>
    <w:rsid w:val="0590412E"/>
    <w:rsid w:val="05AB6853"/>
    <w:rsid w:val="06462334"/>
    <w:rsid w:val="082846E9"/>
    <w:rsid w:val="092B097C"/>
    <w:rsid w:val="0C0D040C"/>
    <w:rsid w:val="0CC91453"/>
    <w:rsid w:val="0DD43F2C"/>
    <w:rsid w:val="0E9870F3"/>
    <w:rsid w:val="0F27699D"/>
    <w:rsid w:val="0F6338E8"/>
    <w:rsid w:val="0FCE41D6"/>
    <w:rsid w:val="0FFA05BC"/>
    <w:rsid w:val="101F22CC"/>
    <w:rsid w:val="116374C9"/>
    <w:rsid w:val="134E4A4D"/>
    <w:rsid w:val="144053D9"/>
    <w:rsid w:val="199B5AEC"/>
    <w:rsid w:val="1CD02370"/>
    <w:rsid w:val="1D374139"/>
    <w:rsid w:val="1F5C561A"/>
    <w:rsid w:val="1FCD5CF9"/>
    <w:rsid w:val="204B1698"/>
    <w:rsid w:val="20E428D6"/>
    <w:rsid w:val="21CD035B"/>
    <w:rsid w:val="227F0BF5"/>
    <w:rsid w:val="241862A8"/>
    <w:rsid w:val="24775A55"/>
    <w:rsid w:val="24B2373D"/>
    <w:rsid w:val="26341D7A"/>
    <w:rsid w:val="26C17BED"/>
    <w:rsid w:val="2705255F"/>
    <w:rsid w:val="27BA418D"/>
    <w:rsid w:val="28CA01E6"/>
    <w:rsid w:val="28E318BA"/>
    <w:rsid w:val="290859D4"/>
    <w:rsid w:val="2A667E21"/>
    <w:rsid w:val="2CC979C8"/>
    <w:rsid w:val="2DEB7E44"/>
    <w:rsid w:val="2EAE7A98"/>
    <w:rsid w:val="30280B83"/>
    <w:rsid w:val="30AE33EE"/>
    <w:rsid w:val="30B21D4D"/>
    <w:rsid w:val="32366DE8"/>
    <w:rsid w:val="33332088"/>
    <w:rsid w:val="333D601D"/>
    <w:rsid w:val="33B550C6"/>
    <w:rsid w:val="33C8124B"/>
    <w:rsid w:val="34CC0588"/>
    <w:rsid w:val="357B704D"/>
    <w:rsid w:val="36975E45"/>
    <w:rsid w:val="37037375"/>
    <w:rsid w:val="37DF4912"/>
    <w:rsid w:val="380F48D6"/>
    <w:rsid w:val="391653ED"/>
    <w:rsid w:val="39582180"/>
    <w:rsid w:val="39A9502D"/>
    <w:rsid w:val="3CAC3D9E"/>
    <w:rsid w:val="3E46121F"/>
    <w:rsid w:val="40A85AAA"/>
    <w:rsid w:val="42A53BE8"/>
    <w:rsid w:val="42C6330C"/>
    <w:rsid w:val="44AB144D"/>
    <w:rsid w:val="45610B5D"/>
    <w:rsid w:val="45961CF1"/>
    <w:rsid w:val="461B5EF6"/>
    <w:rsid w:val="47EE5213"/>
    <w:rsid w:val="49277494"/>
    <w:rsid w:val="4AEE51D0"/>
    <w:rsid w:val="4B1465F1"/>
    <w:rsid w:val="4BDD74AB"/>
    <w:rsid w:val="4DCF0C88"/>
    <w:rsid w:val="501F0FE3"/>
    <w:rsid w:val="50D81282"/>
    <w:rsid w:val="510D5E4E"/>
    <w:rsid w:val="51486F63"/>
    <w:rsid w:val="5224518F"/>
    <w:rsid w:val="525D7689"/>
    <w:rsid w:val="52F57D9D"/>
    <w:rsid w:val="542055BD"/>
    <w:rsid w:val="56DD53F8"/>
    <w:rsid w:val="56E62EEF"/>
    <w:rsid w:val="56F92AA9"/>
    <w:rsid w:val="57AB4491"/>
    <w:rsid w:val="57B24743"/>
    <w:rsid w:val="57E460AC"/>
    <w:rsid w:val="595C534C"/>
    <w:rsid w:val="5A9C2C06"/>
    <w:rsid w:val="5BE95F08"/>
    <w:rsid w:val="5C485485"/>
    <w:rsid w:val="5F863D41"/>
    <w:rsid w:val="605F60C5"/>
    <w:rsid w:val="60614425"/>
    <w:rsid w:val="629118B4"/>
    <w:rsid w:val="62D245EC"/>
    <w:rsid w:val="634B31A8"/>
    <w:rsid w:val="659C0EE5"/>
    <w:rsid w:val="65B94D58"/>
    <w:rsid w:val="65CA0D86"/>
    <w:rsid w:val="65CA31FB"/>
    <w:rsid w:val="6668599C"/>
    <w:rsid w:val="68CE55D7"/>
    <w:rsid w:val="690428EB"/>
    <w:rsid w:val="696E7404"/>
    <w:rsid w:val="6C4E0CA3"/>
    <w:rsid w:val="6E2A1184"/>
    <w:rsid w:val="6E8C6A3A"/>
    <w:rsid w:val="6EA32F62"/>
    <w:rsid w:val="70083AE8"/>
    <w:rsid w:val="70432487"/>
    <w:rsid w:val="70E80BFB"/>
    <w:rsid w:val="71A053CB"/>
    <w:rsid w:val="72075733"/>
    <w:rsid w:val="723B246B"/>
    <w:rsid w:val="725C46BE"/>
    <w:rsid w:val="729B22F6"/>
    <w:rsid w:val="7305742E"/>
    <w:rsid w:val="74202BB5"/>
    <w:rsid w:val="74AD3274"/>
    <w:rsid w:val="75A96845"/>
    <w:rsid w:val="7645608F"/>
    <w:rsid w:val="769110CC"/>
    <w:rsid w:val="76B93D5B"/>
    <w:rsid w:val="787B7A75"/>
    <w:rsid w:val="78EF4740"/>
    <w:rsid w:val="79EF5D58"/>
    <w:rsid w:val="7AA815E3"/>
    <w:rsid w:val="7AE163C7"/>
    <w:rsid w:val="7AE4602F"/>
    <w:rsid w:val="7B382F8A"/>
    <w:rsid w:val="7B577C84"/>
    <w:rsid w:val="7B756528"/>
    <w:rsid w:val="7F397C3C"/>
    <w:rsid w:val="7FC1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匿名用户</cp:lastModifiedBy>
  <dcterms:modified xsi:type="dcterms:W3CDTF">2025-05-12T07:49:46Z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